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ind w:firstLine="1205" w:firstLineChars="400"/>
        <w:jc w:val="both"/>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w:t>
      </w:r>
      <w:r>
        <w:rPr>
          <w:rFonts w:hint="eastAsia" w:ascii="宋体" w:hAnsi="宋体"/>
          <w:b/>
          <w:sz w:val="30"/>
          <w:szCs w:val="30"/>
          <w:lang w:eastAsia="zh-CN"/>
        </w:rPr>
        <w:t>电动手术床</w:t>
      </w:r>
      <w:r>
        <w:rPr>
          <w:rFonts w:hint="eastAsia"/>
          <w:b/>
          <w:bCs/>
          <w:kern w:val="0"/>
          <w:sz w:val="28"/>
          <w:szCs w:val="28"/>
          <w:lang w:val="en-US" w:eastAsia="zh-CN"/>
        </w:rPr>
        <w:t>供应与服务</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微软雅黑"/>
          <w:b/>
          <w:color w:val="auto"/>
          <w:sz w:val="32"/>
          <w:lang w:eastAsia="zh-CN"/>
        </w:rPr>
        <w:t>二</w:t>
      </w:r>
      <w:r>
        <w:rPr>
          <w:rFonts w:hint="eastAsia" w:ascii="宋体" w:hAnsi="宋体" w:cs="微软雅黑"/>
          <w:b/>
          <w:color w:val="auto"/>
          <w:sz w:val="32"/>
        </w:rPr>
        <w:t>〇</w:t>
      </w:r>
      <w:r>
        <w:rPr>
          <w:rFonts w:hint="eastAsia" w:ascii="宋体" w:hAnsi="宋体" w:cs="仿宋_GB2312"/>
          <w:b/>
          <w:color w:val="auto"/>
          <w:sz w:val="32"/>
        </w:rPr>
        <w:t>年</w:t>
      </w:r>
      <w:r>
        <w:rPr>
          <w:rFonts w:hint="eastAsia" w:ascii="宋体" w:hAnsi="宋体" w:cs="仿宋_GB2312"/>
          <w:b/>
          <w:color w:val="auto"/>
          <w:sz w:val="32"/>
          <w:lang w:eastAsia="zh-CN"/>
        </w:rPr>
        <w:t>十</w:t>
      </w:r>
      <w:r>
        <w:rPr>
          <w:rFonts w:hint="eastAsia" w:ascii="宋体" w:hAnsi="宋体" w:cs="仿宋_GB2312"/>
          <w:b/>
          <w:color w:val="auto"/>
          <w:sz w:val="32"/>
        </w:rPr>
        <w:t>月</w:t>
      </w:r>
      <w:r>
        <w:rPr>
          <w:rFonts w:hint="eastAsia" w:ascii="宋体" w:hAnsi="宋体" w:cs="仿宋_GB2312"/>
          <w:b/>
          <w:color w:val="auto"/>
          <w:sz w:val="32"/>
          <w:lang w:eastAsia="zh-CN"/>
        </w:rPr>
        <w:t>二十二</w:t>
      </w:r>
      <w:bookmarkStart w:id="32" w:name="_GoBack"/>
      <w:bookmarkEnd w:id="32"/>
      <w:r>
        <w:rPr>
          <w:rFonts w:hint="eastAsia" w:ascii="宋体" w:hAnsi="宋体" w:cs="仿宋_GB2312"/>
          <w:b/>
          <w:color w:val="auto"/>
          <w:sz w:val="32"/>
        </w:rPr>
        <w:t>日</w:t>
      </w:r>
    </w:p>
    <w:p>
      <w:pPr>
        <w:widowControl/>
        <w:jc w:val="left"/>
        <w:rPr>
          <w:rFonts w:ascii="宋体" w:hAnsi="宋体"/>
          <w:sz w:val="32"/>
        </w:rPr>
      </w:pPr>
      <w:r>
        <w:rPr>
          <w:rFonts w:ascii="宋体" w:hAnsi="宋体"/>
          <w:sz w:val="32"/>
        </w:rPr>
        <w:br w:type="page"/>
      </w: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pPr>
      <w:bookmarkStart w:id="0" w:name="_Toc219626690"/>
      <w:r>
        <w:rPr>
          <w:rFonts w:hint="eastAsia" w:ascii="宋体" w:hAnsi="宋体"/>
          <w:b/>
          <w:sz w:val="44"/>
          <w:szCs w:val="44"/>
        </w:rPr>
        <w:t>投标人须知</w:t>
      </w:r>
      <w:bookmarkEnd w:id="0"/>
      <w:bookmarkStart w:id="1" w:name="_Toc219626724"/>
    </w:p>
    <w:p>
      <w:pPr>
        <w:snapToGrid w:val="0"/>
        <w:spacing w:line="396" w:lineRule="atLeast"/>
        <w:jc w:val="both"/>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电动手术床</w:t>
      </w:r>
      <w:r>
        <w:rPr>
          <w:rFonts w:hint="eastAsia" w:ascii="宋体" w:hAnsi="宋体"/>
          <w:sz w:val="24"/>
          <w:szCs w:val="24"/>
          <w:lang w:val="en-US" w:eastAsia="zh-CN"/>
        </w:rPr>
        <w:t>供应与服务</w:t>
      </w:r>
    </w:p>
    <w:p>
      <w:pPr>
        <w:snapToGrid w:val="0"/>
        <w:spacing w:line="396" w:lineRule="atLeast"/>
        <w:jc w:val="both"/>
        <w:rPr>
          <w:rFonts w:hint="eastAsia" w:ascii="宋体" w:hAnsi="宋体"/>
          <w:sz w:val="24"/>
          <w:szCs w:val="24"/>
          <w:lang w:eastAsia="zh-CN"/>
        </w:rPr>
      </w:pPr>
      <w:r>
        <w:rPr>
          <w:rFonts w:hint="eastAsia" w:ascii="宋体" w:hAnsi="宋体"/>
          <w:sz w:val="24"/>
          <w:szCs w:val="24"/>
          <w:lang w:eastAsia="zh-CN"/>
        </w:rPr>
        <w:t>二、数量：</w:t>
      </w:r>
      <w:r>
        <w:rPr>
          <w:rFonts w:hint="eastAsia" w:ascii="宋体" w:hAnsi="宋体"/>
          <w:sz w:val="24"/>
          <w:szCs w:val="24"/>
        </w:rPr>
        <w:t>壹台</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三、</w:t>
      </w:r>
      <w:r>
        <w:rPr>
          <w:rFonts w:hint="eastAsia" w:ascii="宋体" w:hAnsi="宋体"/>
          <w:sz w:val="24"/>
          <w:szCs w:val="24"/>
        </w:rPr>
        <w:t>项目预算：￥</w:t>
      </w:r>
      <w:r>
        <w:rPr>
          <w:rFonts w:hint="eastAsia" w:ascii="宋体" w:hAnsi="宋体"/>
          <w:sz w:val="24"/>
          <w:szCs w:val="24"/>
          <w:lang w:val="en-US" w:eastAsia="zh-CN"/>
        </w:rPr>
        <w:t>2</w:t>
      </w:r>
      <w:r>
        <w:rPr>
          <w:rFonts w:hint="eastAsia" w:ascii="宋体" w:hAnsi="宋体"/>
          <w:sz w:val="24"/>
          <w:szCs w:val="24"/>
        </w:rPr>
        <w:t>0000.00元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0"/>
        </w:numPr>
        <w:tabs>
          <w:tab w:val="left" w:pos="426"/>
          <w:tab w:val="left" w:pos="567"/>
        </w:tabs>
        <w:spacing w:line="500" w:lineRule="exact"/>
        <w:rPr>
          <w:rFonts w:hint="eastAsia" w:ascii="宋体"/>
          <w:sz w:val="24"/>
          <w:szCs w:val="24"/>
          <w:lang w:eastAsia="zh-CN"/>
        </w:rPr>
      </w:pPr>
      <w:r>
        <w:rPr>
          <w:rFonts w:hint="eastAsia" w:ascii="宋体" w:hAnsi="宋体"/>
          <w:sz w:val="24"/>
          <w:szCs w:val="24"/>
          <w:lang w:eastAsia="zh-CN"/>
        </w:rPr>
        <w:t>四、</w:t>
      </w:r>
      <w:r>
        <w:rPr>
          <w:rFonts w:hint="eastAsia" w:ascii="宋体" w:hAnsi="宋体"/>
          <w:sz w:val="24"/>
          <w:szCs w:val="24"/>
        </w:rPr>
        <w:t>采购方式：</w:t>
      </w:r>
      <w:r>
        <w:rPr>
          <w:rFonts w:hint="eastAsia" w:ascii="宋体"/>
          <w:sz w:val="24"/>
          <w:szCs w:val="24"/>
          <w:lang w:eastAsia="zh-CN"/>
        </w:rPr>
        <w:t>竞争性谈判</w:t>
      </w:r>
    </w:p>
    <w:p>
      <w:pPr>
        <w:pStyle w:val="14"/>
        <w:numPr>
          <w:ilvl w:val="0"/>
          <w:numId w:val="0"/>
        </w:numPr>
        <w:tabs>
          <w:tab w:val="left" w:pos="426"/>
          <w:tab w:val="left" w:pos="567"/>
        </w:tabs>
        <w:spacing w:line="500" w:lineRule="exact"/>
        <w:rPr>
          <w:rFonts w:ascii="宋体" w:hAnsi="宋体"/>
          <w:sz w:val="24"/>
          <w:szCs w:val="24"/>
        </w:rPr>
      </w:pPr>
      <w:r>
        <w:rPr>
          <w:rFonts w:hint="eastAsia" w:ascii="宋体" w:hAnsi="宋体"/>
          <w:sz w:val="24"/>
          <w:szCs w:val="24"/>
          <w:lang w:eastAsia="zh-CN"/>
        </w:rPr>
        <w:t>五、</w:t>
      </w:r>
      <w:r>
        <w:rPr>
          <w:rFonts w:hint="eastAsia" w:ascii="宋体" w:hAnsi="宋体"/>
          <w:sz w:val="24"/>
          <w:szCs w:val="24"/>
        </w:rPr>
        <w:t>谈判响应文件要求</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2"/>
        </w:numPr>
        <w:tabs>
          <w:tab w:val="left" w:pos="426"/>
          <w:tab w:val="left" w:pos="567"/>
        </w:tabs>
        <w:spacing w:line="500" w:lineRule="exact"/>
        <w:ind w:firstLineChars="0"/>
        <w:rPr>
          <w:rFonts w:ascii="宋体"/>
          <w:sz w:val="24"/>
          <w:szCs w:val="24"/>
        </w:rPr>
      </w:pPr>
      <w:r>
        <w:rPr>
          <w:rFonts w:hint="eastAsia" w:ascii="宋体" w:hAnsi="宋体"/>
          <w:sz w:val="24"/>
          <w:szCs w:val="24"/>
        </w:rPr>
        <w:t>投标人应提供以下资料：投标报价表（单价和总价）、供货一览表、配置清单、所投产品带有相关技术参数内容的中文版彩色宣传图册或产品说明书、医疗器械注册证及登记表、厂家代理授权证书、营业执照、医疗器械经营许可证</w:t>
      </w:r>
      <w:r>
        <w:rPr>
          <w:rFonts w:hint="eastAsia" w:ascii="宋体" w:hAnsi="宋体"/>
          <w:sz w:val="24"/>
          <w:szCs w:val="24"/>
          <w:lang w:eastAsia="zh-CN"/>
        </w:rPr>
        <w:t>或第二类医疗器械备案凭证</w:t>
      </w:r>
      <w:r>
        <w:rPr>
          <w:rFonts w:hint="eastAsia" w:ascii="宋体" w:hAnsi="宋体"/>
          <w:sz w:val="24"/>
          <w:szCs w:val="24"/>
        </w:rPr>
        <w:t>、法人代表授权书、用户名单以及认为有必要提供的其他文件。</w:t>
      </w:r>
    </w:p>
    <w:p>
      <w:pPr>
        <w:pStyle w:val="14"/>
        <w:numPr>
          <w:ilvl w:val="0"/>
          <w:numId w:val="2"/>
        </w:numPr>
        <w:tabs>
          <w:tab w:val="left" w:pos="426"/>
          <w:tab w:val="left" w:pos="567"/>
        </w:tabs>
        <w:spacing w:line="500" w:lineRule="exact"/>
        <w:ind w:left="420" w:leftChars="0" w:hanging="420" w:firstLineChars="0"/>
        <w:rPr>
          <w:rFonts w:ascii="宋体" w:cs="宋体"/>
          <w:sz w:val="24"/>
          <w:szCs w:val="24"/>
        </w:rPr>
      </w:pPr>
      <w:r>
        <w:rPr>
          <w:rFonts w:hint="eastAsia" w:ascii="宋体" w:hAnsi="宋体"/>
          <w:sz w:val="24"/>
          <w:szCs w:val="24"/>
        </w:rPr>
        <w:t>投标人</w:t>
      </w:r>
      <w:r>
        <w:rPr>
          <w:rFonts w:hint="eastAsia" w:ascii="宋体" w:hAnsi="宋体" w:cs="宋体"/>
          <w:sz w:val="24"/>
          <w:szCs w:val="24"/>
        </w:rPr>
        <w:t>应提供所推荐产品</w:t>
      </w:r>
      <w:r>
        <w:rPr>
          <w:rFonts w:hint="eastAsia" w:ascii="宋体" w:hAnsi="宋体" w:cs="宋体"/>
          <w:sz w:val="24"/>
          <w:szCs w:val="24"/>
          <w:lang w:eastAsia="zh-CN"/>
        </w:rPr>
        <w:t>江苏省</w:t>
      </w:r>
      <w:r>
        <w:rPr>
          <w:rFonts w:hint="eastAsia" w:ascii="宋体" w:hAnsi="宋体" w:cs="宋体"/>
          <w:sz w:val="24"/>
          <w:szCs w:val="24"/>
        </w:rPr>
        <w:t>近两年的详细销售业绩，以合同或中标通知书方式体现。</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2"/>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六</w:t>
      </w:r>
      <w:r>
        <w:rPr>
          <w:rFonts w:hint="eastAsia" w:ascii="宋体" w:hAnsi="宋体" w:eastAsia="宋体" w:cs="宋体"/>
          <w:color w:val="000000"/>
          <w:kern w:val="0"/>
          <w:sz w:val="24"/>
          <w:szCs w:val="24"/>
          <w:lang w:val="en-US" w:eastAsia="zh-CN" w:bidi="ar-SA"/>
        </w:rPr>
        <w:t>、谈判与评定方法</w:t>
      </w:r>
    </w:p>
    <w:p>
      <w:pPr>
        <w:pStyle w:val="10"/>
        <w:numPr>
          <w:ilvl w:val="0"/>
          <w:numId w:val="0"/>
        </w:numPr>
        <w:tabs>
          <w:tab w:val="left" w:pos="426"/>
          <w:tab w:val="left" w:pos="567"/>
        </w:tabs>
        <w:spacing w:line="500" w:lineRule="exact"/>
        <w:ind w:firstLine="240" w:firstLineChars="100"/>
        <w:rPr>
          <w:rFonts w:ascii="宋体" w:hAnsi="宋体" w:cs="宋体"/>
          <w:sz w:val="24"/>
        </w:rPr>
      </w:pPr>
      <w:r>
        <w:rPr>
          <w:rFonts w:hint="eastAsia" w:ascii="宋体" w:hAnsi="宋体" w:cs="宋体"/>
          <w:color w:val="000000"/>
          <w:kern w:val="0"/>
          <w:sz w:val="24"/>
          <w:szCs w:val="24"/>
          <w:lang w:val="en-US" w:eastAsia="zh-CN" w:bidi="ar-SA"/>
        </w:rPr>
        <w:t>1.电动手术床</w:t>
      </w:r>
      <w:r>
        <w:rPr>
          <w:rFonts w:hint="eastAsia" w:ascii="宋体" w:hAnsi="宋体" w:eastAsia="宋体" w:cs="宋体"/>
          <w:color w:val="000000"/>
          <w:kern w:val="0"/>
          <w:sz w:val="24"/>
          <w:szCs w:val="24"/>
          <w:lang w:val="en-US" w:eastAsia="zh-CN" w:bidi="ar-SA"/>
        </w:rPr>
        <w:t>项目采</w:t>
      </w:r>
      <w:r>
        <w:rPr>
          <w:rFonts w:hint="eastAsia" w:ascii="宋体" w:hAnsi="宋体" w:cs="宋体"/>
          <w:sz w:val="24"/>
        </w:rPr>
        <w:t>用竞争性谈判的采购方式进行招标采购。</w:t>
      </w:r>
    </w:p>
    <w:p>
      <w:pPr>
        <w:pStyle w:val="10"/>
        <w:numPr>
          <w:ilvl w:val="0"/>
          <w:numId w:val="0"/>
        </w:numPr>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lang w:val="en-US" w:eastAsia="zh-CN"/>
        </w:rPr>
        <w:t>2.</w:t>
      </w:r>
      <w:r>
        <w:rPr>
          <w:rFonts w:hint="eastAsia" w:ascii="宋体" w:hAnsi="宋体" w:cs="宋体"/>
          <w:sz w:val="24"/>
        </w:rPr>
        <w:t>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，在评标期间投标人代表应随时解答评标委员会提出的问题。</w:t>
      </w:r>
    </w:p>
    <w:p>
      <w:pPr>
        <w:pStyle w:val="10"/>
        <w:numPr>
          <w:ilvl w:val="0"/>
          <w:numId w:val="0"/>
        </w:numPr>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lang w:val="en-US" w:eastAsia="zh-CN"/>
        </w:rPr>
        <w:t>3.</w:t>
      </w:r>
      <w:r>
        <w:rPr>
          <w:rFonts w:hint="eastAsia" w:ascii="宋体" w:hAnsi="宋体" w:cs="宋体"/>
          <w:sz w:val="24"/>
        </w:rPr>
        <w:t>谈判小组将根据供应商响应情况，在资格性、符合性全部满足谈判文件实质性要求的前提下，开始进一步谈判。</w:t>
      </w:r>
    </w:p>
    <w:p>
      <w:pPr>
        <w:pStyle w:val="10"/>
        <w:numPr>
          <w:ilvl w:val="0"/>
          <w:numId w:val="0"/>
        </w:numPr>
        <w:tabs>
          <w:tab w:val="left" w:pos="426"/>
          <w:tab w:val="left" w:pos="567"/>
        </w:tabs>
        <w:spacing w:line="500" w:lineRule="exact"/>
        <w:ind w:firstLine="240" w:firstLineChars="100"/>
        <w:rPr>
          <w:rFonts w:ascii="宋体" w:hAnsi="宋体" w:cs="宋体"/>
          <w:sz w:val="24"/>
        </w:rPr>
      </w:pPr>
      <w:r>
        <w:rPr>
          <w:rFonts w:hint="eastAsia" w:ascii="宋体" w:hAnsi="宋体" w:cs="宋体"/>
          <w:sz w:val="24"/>
          <w:lang w:val="en-US" w:eastAsia="zh-CN"/>
        </w:rPr>
        <w:t>4.</w:t>
      </w:r>
      <w:r>
        <w:rPr>
          <w:rFonts w:hint="eastAsia" w:ascii="宋体" w:hAnsi="宋体" w:cs="宋体"/>
          <w:sz w:val="24"/>
        </w:rPr>
        <w:t>谈判主要内容：价格、质量性能、售后服务、优惠条件等。</w:t>
      </w:r>
    </w:p>
    <w:p>
      <w:pPr>
        <w:pStyle w:val="10"/>
        <w:numPr>
          <w:ilvl w:val="0"/>
          <w:numId w:val="0"/>
        </w:numPr>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lang w:val="en-US" w:eastAsia="zh-CN"/>
        </w:rPr>
        <w:t>5.</w:t>
      </w:r>
      <w:r>
        <w:rPr>
          <w:rFonts w:hint="eastAsia" w:ascii="宋体" w:hAnsi="宋体" w:cs="宋体"/>
          <w:sz w:val="24"/>
        </w:rPr>
        <w:t>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0"/>
        <w:numPr>
          <w:ilvl w:val="0"/>
          <w:numId w:val="0"/>
        </w:numPr>
        <w:tabs>
          <w:tab w:val="left" w:pos="426"/>
          <w:tab w:val="left" w:pos="567"/>
        </w:tabs>
        <w:spacing w:line="500" w:lineRule="exact"/>
        <w:ind w:firstLine="240" w:firstLineChars="100"/>
        <w:rPr>
          <w:rFonts w:ascii="宋体" w:hAnsi="宋体"/>
          <w:sz w:val="24"/>
        </w:rPr>
      </w:pPr>
      <w:r>
        <w:rPr>
          <w:rFonts w:hint="eastAsia" w:ascii="宋体" w:hAnsi="宋体"/>
          <w:sz w:val="24"/>
          <w:lang w:val="en-US" w:eastAsia="zh-CN"/>
        </w:rPr>
        <w:t>6.</w:t>
      </w:r>
      <w:r>
        <w:rPr>
          <w:rFonts w:hint="eastAsia" w:ascii="宋体" w:hAnsi="宋体"/>
          <w:sz w:val="24"/>
        </w:rPr>
        <w:t>评标方法：综合评分法，总分值为100分。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0"/>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1、投标报价                </w:t>
      </w:r>
      <w:r>
        <w:rPr>
          <w:rFonts w:hint="eastAsia" w:ascii="宋体" w:hAnsi="宋体"/>
          <w:sz w:val="24"/>
          <w:lang w:val="en-US" w:eastAsia="zh-CN"/>
        </w:rPr>
        <w:t>50</w:t>
      </w:r>
      <w:r>
        <w:rPr>
          <w:rFonts w:hint="eastAsia" w:ascii="宋体" w:hAnsi="宋体"/>
          <w:sz w:val="24"/>
        </w:rPr>
        <w:t xml:space="preserve">%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2、质量性能                </w:t>
      </w:r>
      <w:r>
        <w:rPr>
          <w:rFonts w:hint="eastAsia" w:ascii="宋体" w:hAnsi="宋体"/>
          <w:sz w:val="24"/>
          <w:lang w:val="en-US" w:eastAsia="zh-CN"/>
        </w:rPr>
        <w:t>40</w:t>
      </w:r>
      <w:r>
        <w:rPr>
          <w:rFonts w:hint="eastAsia" w:ascii="宋体" w:hAnsi="宋体"/>
          <w:sz w:val="24"/>
        </w:rPr>
        <w:t xml:space="preserve">%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3、综合实力                 5%  </w:t>
      </w:r>
    </w:p>
    <w:p>
      <w:pPr>
        <w:pStyle w:val="10"/>
        <w:tabs>
          <w:tab w:val="left" w:pos="426"/>
          <w:tab w:val="left" w:pos="567"/>
        </w:tabs>
        <w:spacing w:line="500" w:lineRule="exact"/>
        <w:ind w:left="420" w:firstLine="0" w:firstLineChars="0"/>
        <w:rPr>
          <w:rFonts w:ascii="宋体" w:hAnsi="宋体" w:cs="宋体"/>
          <w:sz w:val="24"/>
        </w:rPr>
      </w:pPr>
      <w:r>
        <w:rPr>
          <w:rFonts w:hint="eastAsia" w:ascii="宋体" w:hAnsi="宋体"/>
          <w:sz w:val="24"/>
        </w:rPr>
        <w:t xml:space="preserve">4、服务承诺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 xml:space="preserve">%    </w:t>
      </w:r>
    </w:p>
    <w:p>
      <w:pPr>
        <w:pStyle w:val="10"/>
        <w:tabs>
          <w:tab w:val="left" w:pos="426"/>
          <w:tab w:val="left" w:pos="567"/>
        </w:tabs>
        <w:spacing w:line="500" w:lineRule="exact"/>
        <w:ind w:firstLineChars="175"/>
        <w:rPr>
          <w:rFonts w:hint="eastAsia" w:ascii="宋体" w:hAnsi="宋体" w:eastAsia="宋体" w:cs="宋体"/>
          <w:sz w:val="24"/>
          <w:lang w:eastAsia="zh-CN"/>
        </w:rPr>
      </w:pPr>
      <w:r>
        <w:rPr>
          <w:rFonts w:hint="eastAsia" w:ascii="宋体" w:hAnsi="宋体" w:cs="宋体"/>
          <w:sz w:val="24"/>
        </w:rPr>
        <w:t>6.2评分办法</w:t>
      </w:r>
      <w:r>
        <w:rPr>
          <w:rFonts w:hint="eastAsia" w:ascii="宋体" w:hAnsi="宋体" w:cs="宋体"/>
          <w:sz w:val="24"/>
          <w:lang w:eastAsia="zh-CN"/>
        </w:rPr>
        <w:t>：</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50</w:t>
      </w:r>
      <w:r>
        <w:rPr>
          <w:rFonts w:hint="eastAsia" w:ascii="宋体" w:hAnsi="宋体" w:cs="宋体"/>
          <w:sz w:val="24"/>
        </w:rPr>
        <w:t>分）</w:t>
      </w:r>
    </w:p>
    <w:p>
      <w:pPr>
        <w:pStyle w:val="10"/>
        <w:tabs>
          <w:tab w:val="left" w:pos="426"/>
          <w:tab w:val="left" w:pos="567"/>
        </w:tabs>
        <w:spacing w:line="500" w:lineRule="exact"/>
        <w:ind w:left="420" w:firstLine="528" w:firstLineChars="220"/>
        <w:rPr>
          <w:rFonts w:ascii="宋体" w:hAnsi="宋体" w:cs="宋体"/>
          <w:sz w:val="24"/>
        </w:rPr>
      </w:pPr>
      <w:r>
        <w:rPr>
          <w:rFonts w:hint="eastAsia" w:ascii="宋体" w:hAnsi="宋体" w:cs="宋体"/>
          <w:color w:val="auto"/>
          <w:sz w:val="24"/>
          <w:lang w:eastAsia="zh-CN"/>
        </w:rPr>
        <w:t>设备</w:t>
      </w:r>
      <w:r>
        <w:rPr>
          <w:rFonts w:hint="eastAsia" w:ascii="宋体" w:hAnsi="宋体" w:cs="宋体"/>
          <w:sz w:val="24"/>
        </w:rPr>
        <w:t>报价得分公式：分别比较实质响应的投标文件中开标一览表的总报价，以最低总报价为基准价，基准价得满分，其他投标人的价格分统一按照公式计算：</w:t>
      </w:r>
    </w:p>
    <w:p>
      <w:pPr>
        <w:pStyle w:val="10"/>
        <w:tabs>
          <w:tab w:val="left" w:pos="426"/>
          <w:tab w:val="left" w:pos="567"/>
        </w:tabs>
        <w:spacing w:line="500" w:lineRule="exact"/>
        <w:ind w:left="420" w:firstLine="528" w:firstLineChars="220"/>
        <w:rPr>
          <w:rFonts w:ascii="宋体" w:hAnsi="宋体" w:cs="宋体"/>
          <w:sz w:val="24"/>
        </w:rPr>
      </w:pPr>
      <w:r>
        <w:rPr>
          <w:rFonts w:hint="eastAsia" w:ascii="宋体" w:hAnsi="宋体" w:cs="宋体"/>
          <w:sz w:val="24"/>
        </w:rPr>
        <w:t>报价得分=(评定基准价／最终总报价)×价格权值×100</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6.2.2质量性能（</w:t>
      </w:r>
      <w:r>
        <w:rPr>
          <w:rFonts w:hint="eastAsia" w:ascii="宋体" w:hAnsi="宋体" w:cs="宋体"/>
          <w:sz w:val="24"/>
          <w:lang w:val="en-US" w:eastAsia="zh-CN"/>
        </w:rPr>
        <w:t>40</w:t>
      </w:r>
      <w:r>
        <w:rPr>
          <w:rFonts w:hint="eastAsia" w:ascii="宋体" w:hAnsi="宋体" w:cs="宋体"/>
          <w:sz w:val="24"/>
        </w:rPr>
        <w:t>分）</w:t>
      </w:r>
    </w:p>
    <w:p>
      <w:pPr>
        <w:pStyle w:val="10"/>
        <w:numPr>
          <w:ilvl w:val="0"/>
          <w:numId w:val="3"/>
        </w:numPr>
        <w:tabs>
          <w:tab w:val="left" w:pos="426"/>
          <w:tab w:val="left" w:pos="567"/>
        </w:tabs>
        <w:spacing w:line="500" w:lineRule="exact"/>
        <w:ind w:left="420" w:firstLine="288" w:firstLineChars="120"/>
        <w:rPr>
          <w:rFonts w:hint="eastAsia" w:ascii="宋体" w:hAnsi="宋体" w:cs="宋体"/>
          <w:b/>
          <w:bCs/>
          <w:sz w:val="24"/>
          <w:lang w:val="en-US" w:eastAsia="zh-CN"/>
        </w:rPr>
      </w:pPr>
      <w:r>
        <w:rPr>
          <w:rFonts w:hint="eastAsia" w:ascii="宋体" w:hAnsi="宋体" w:cs="宋体"/>
          <w:sz w:val="24"/>
        </w:rPr>
        <w:t>功能响应（</w:t>
      </w:r>
      <w:r>
        <w:rPr>
          <w:rFonts w:hint="eastAsia" w:ascii="宋体" w:hAnsi="宋体" w:cs="宋体"/>
          <w:sz w:val="24"/>
          <w:lang w:val="en-US" w:eastAsia="zh-CN"/>
        </w:rPr>
        <w:t>25</w:t>
      </w:r>
      <w:r>
        <w:rPr>
          <w:rFonts w:hint="eastAsia" w:ascii="宋体" w:hAnsi="宋体" w:cs="宋体"/>
          <w:sz w:val="24"/>
        </w:rPr>
        <w:t>分）：所投设备均满足采购需求的得</w:t>
      </w:r>
      <w:r>
        <w:rPr>
          <w:rFonts w:hint="eastAsia" w:ascii="宋体" w:hAnsi="宋体" w:cs="宋体"/>
          <w:sz w:val="24"/>
          <w:lang w:val="en-US" w:eastAsia="zh-CN"/>
        </w:rPr>
        <w:t>25</w:t>
      </w:r>
      <w:r>
        <w:rPr>
          <w:rFonts w:hint="eastAsia" w:ascii="宋体" w:hAnsi="宋体" w:cs="宋体"/>
          <w:sz w:val="24"/>
        </w:rPr>
        <w:t>分；若非打“★”部分的参数有负偏离则每项扣1-2分（当扣分＞6分时，则</w:t>
      </w:r>
      <w:r>
        <w:rPr>
          <w:rFonts w:hint="eastAsia" w:ascii="宋体" w:hAnsi="宋体" w:cs="宋体"/>
          <w:color w:val="auto"/>
          <w:sz w:val="24"/>
        </w:rPr>
        <w:t>本项得0分</w:t>
      </w:r>
      <w:r>
        <w:rPr>
          <w:rFonts w:hint="eastAsia" w:ascii="宋体" w:hAnsi="宋体" w:cs="宋体"/>
          <w:sz w:val="24"/>
        </w:rPr>
        <w:t>）；</w:t>
      </w:r>
      <w:r>
        <w:rPr>
          <w:rFonts w:hint="eastAsia" w:ascii="宋体" w:hAnsi="宋体" w:cs="宋体"/>
          <w:b/>
          <w:bCs/>
          <w:sz w:val="24"/>
        </w:rPr>
        <w:t>打“★”部分的参数有负偏离，则本项得0分，并作无效投标处理。</w:t>
      </w:r>
    </w:p>
    <w:p>
      <w:pPr>
        <w:pStyle w:val="10"/>
        <w:numPr>
          <w:ilvl w:val="0"/>
          <w:numId w:val="0"/>
        </w:numPr>
        <w:tabs>
          <w:tab w:val="left" w:pos="426"/>
          <w:tab w:val="left" w:pos="567"/>
        </w:tabs>
        <w:spacing w:line="500" w:lineRule="exact"/>
        <w:ind w:left="491" w:leftChars="234" w:firstLine="240" w:firstLineChars="100"/>
        <w:rPr>
          <w:rFonts w:ascii="宋体" w:hAnsi="宋体" w:cs="宋体"/>
          <w:color w:val="auto"/>
          <w:sz w:val="24"/>
        </w:rPr>
      </w:pPr>
      <w:r>
        <w:rPr>
          <w:rFonts w:hint="eastAsia" w:ascii="宋体" w:hAnsi="宋体" w:cs="宋体"/>
          <w:color w:val="auto"/>
          <w:sz w:val="24"/>
        </w:rPr>
        <w:t>（2）性能亮点（</w:t>
      </w:r>
      <w:r>
        <w:rPr>
          <w:rFonts w:hint="eastAsia" w:ascii="宋体" w:hAnsi="宋体" w:cs="宋体"/>
          <w:color w:val="auto"/>
          <w:sz w:val="24"/>
          <w:lang w:val="en-US" w:eastAsia="zh-CN"/>
        </w:rPr>
        <w:t>5</w:t>
      </w:r>
      <w:r>
        <w:rPr>
          <w:rFonts w:hint="eastAsia" w:ascii="宋体" w:hAnsi="宋体" w:cs="宋体"/>
          <w:color w:val="auto"/>
          <w:sz w:val="24"/>
        </w:rPr>
        <w:t>分）：所投设备打“★”部分的参数有优于采购需求的有一项得1分，最高得</w:t>
      </w:r>
      <w:r>
        <w:rPr>
          <w:rFonts w:hint="eastAsia" w:ascii="宋体" w:hAnsi="宋体" w:cs="宋体"/>
          <w:color w:val="auto"/>
          <w:sz w:val="24"/>
          <w:lang w:val="en-US" w:eastAsia="zh-CN"/>
        </w:rPr>
        <w:t>3</w:t>
      </w:r>
      <w:r>
        <w:rPr>
          <w:rFonts w:hint="eastAsia" w:ascii="宋体" w:hAnsi="宋体" w:cs="宋体"/>
          <w:color w:val="auto"/>
          <w:sz w:val="24"/>
        </w:rPr>
        <w:t>分；非打“★”部分的参数有优于采购需求的有一项得0.5分，最高得</w:t>
      </w:r>
      <w:r>
        <w:rPr>
          <w:rFonts w:hint="eastAsia" w:ascii="宋体" w:hAnsi="宋体" w:cs="宋体"/>
          <w:color w:val="auto"/>
          <w:sz w:val="24"/>
          <w:lang w:val="en-US" w:eastAsia="zh-CN"/>
        </w:rPr>
        <w:t>2</w:t>
      </w:r>
      <w:r>
        <w:rPr>
          <w:rFonts w:hint="eastAsia" w:ascii="宋体" w:hAnsi="宋体" w:cs="宋体"/>
          <w:color w:val="auto"/>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（3）综合评价（</w:t>
      </w:r>
      <w:r>
        <w:rPr>
          <w:rFonts w:hint="eastAsia" w:ascii="宋体" w:hAnsi="宋体" w:cs="宋体"/>
          <w:sz w:val="24"/>
          <w:lang w:val="en-US" w:eastAsia="zh-CN"/>
        </w:rPr>
        <w:t>4</w:t>
      </w:r>
      <w:r>
        <w:rPr>
          <w:rFonts w:hint="eastAsia" w:ascii="宋体" w:hAnsi="宋体" w:cs="宋体"/>
          <w:sz w:val="24"/>
        </w:rPr>
        <w:t>分）：根据所投设备的整机性能、材质、配置、质量等进行综合比较，按优（</w:t>
      </w:r>
      <w:r>
        <w:rPr>
          <w:rFonts w:hint="eastAsia" w:ascii="宋体" w:hAnsi="宋体" w:cs="宋体"/>
          <w:sz w:val="24"/>
          <w:lang w:val="en-US" w:eastAsia="zh-CN"/>
        </w:rPr>
        <w:t>4</w:t>
      </w:r>
      <w:r>
        <w:rPr>
          <w:rFonts w:hint="eastAsia" w:ascii="宋体" w:hAnsi="宋体" w:cs="宋体"/>
          <w:sz w:val="24"/>
        </w:rPr>
        <w:t>分）、良（</w:t>
      </w:r>
      <w:r>
        <w:rPr>
          <w:rFonts w:hint="eastAsia" w:ascii="宋体" w:hAnsi="宋体" w:cs="宋体"/>
          <w:sz w:val="24"/>
          <w:lang w:val="en-US" w:eastAsia="zh-CN"/>
        </w:rPr>
        <w:t>2</w:t>
      </w:r>
      <w:r>
        <w:rPr>
          <w:rFonts w:hint="eastAsia" w:ascii="宋体" w:hAnsi="宋体" w:cs="宋体"/>
          <w:sz w:val="24"/>
        </w:rPr>
        <w:t>分）、一般（</w:t>
      </w:r>
      <w:r>
        <w:rPr>
          <w:rFonts w:hint="eastAsia" w:ascii="宋体" w:hAnsi="宋体" w:cs="宋体"/>
          <w:sz w:val="24"/>
          <w:lang w:val="en-US" w:eastAsia="zh-CN"/>
        </w:rPr>
        <w:t>1</w:t>
      </w:r>
      <w:r>
        <w:rPr>
          <w:rFonts w:hint="eastAsia" w:ascii="宋体" w:hAnsi="宋体" w:cs="宋体"/>
          <w:sz w:val="24"/>
        </w:rPr>
        <w:t>分）分档打分，同等档次可得相同分。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（4）设备品牌评价（</w:t>
      </w:r>
      <w:r>
        <w:rPr>
          <w:rFonts w:hint="eastAsia" w:ascii="宋体" w:hAnsi="宋体" w:cs="宋体"/>
          <w:sz w:val="24"/>
          <w:lang w:val="en-US" w:eastAsia="zh-CN"/>
        </w:rPr>
        <w:t>6</w:t>
      </w:r>
      <w:r>
        <w:rPr>
          <w:rFonts w:hint="eastAsia" w:ascii="宋体" w:hAnsi="宋体" w:cs="宋体"/>
          <w:sz w:val="24"/>
        </w:rPr>
        <w:t>分）：根据所投设备品牌及设备制造商的相关资料，比较所选设备在本行业领域的技术先进性及市场使用反馈情况等，按优（</w:t>
      </w:r>
      <w:r>
        <w:rPr>
          <w:rFonts w:hint="eastAsia" w:ascii="宋体" w:hAnsi="宋体" w:cs="宋体"/>
          <w:sz w:val="24"/>
          <w:lang w:val="en-US" w:eastAsia="zh-CN"/>
        </w:rPr>
        <w:t>6</w:t>
      </w:r>
      <w:r>
        <w:rPr>
          <w:rFonts w:hint="eastAsia" w:ascii="宋体" w:hAnsi="宋体" w:cs="宋体"/>
          <w:sz w:val="24"/>
        </w:rPr>
        <w:t>分）、良（</w:t>
      </w:r>
      <w:r>
        <w:rPr>
          <w:rFonts w:hint="eastAsia" w:ascii="宋体" w:hAnsi="宋体" w:cs="宋体"/>
          <w:sz w:val="24"/>
          <w:lang w:val="en-US" w:eastAsia="zh-CN"/>
        </w:rPr>
        <w:t>4</w:t>
      </w:r>
      <w:r>
        <w:rPr>
          <w:rFonts w:hint="eastAsia" w:ascii="宋体" w:hAnsi="宋体" w:cs="宋体"/>
          <w:sz w:val="24"/>
        </w:rPr>
        <w:t>分）、一般（</w:t>
      </w:r>
      <w:r>
        <w:rPr>
          <w:rFonts w:hint="eastAsia" w:ascii="宋体" w:hAnsi="宋体" w:cs="宋体"/>
          <w:sz w:val="24"/>
          <w:lang w:val="en-US" w:eastAsia="zh-CN"/>
        </w:rPr>
        <w:t>2</w:t>
      </w:r>
      <w:r>
        <w:rPr>
          <w:rFonts w:hint="eastAsia" w:ascii="宋体" w:hAnsi="宋体" w:cs="宋体"/>
          <w:sz w:val="24"/>
        </w:rPr>
        <w:t>分）分档打分，同等档次可得相同分。</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6.2.3综合实力（5分）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（1）企业概况（</w:t>
      </w:r>
      <w:r>
        <w:rPr>
          <w:rFonts w:hint="eastAsia" w:ascii="宋体" w:hAnsi="宋体" w:cs="宋体"/>
          <w:sz w:val="24"/>
          <w:lang w:val="en-US" w:eastAsia="zh-CN"/>
        </w:rPr>
        <w:t>3</w:t>
      </w:r>
      <w:r>
        <w:rPr>
          <w:rFonts w:hint="eastAsia" w:ascii="宋体" w:hAnsi="宋体" w:cs="宋体"/>
          <w:sz w:val="24"/>
        </w:rPr>
        <w:t>分）：查看各投标人所投设备制造商的企业实力、生产和研发能力，按优（</w:t>
      </w:r>
      <w:r>
        <w:rPr>
          <w:rFonts w:hint="eastAsia" w:ascii="宋体" w:hAnsi="宋体" w:cs="宋体"/>
          <w:sz w:val="24"/>
          <w:lang w:val="en-US" w:eastAsia="zh-CN"/>
        </w:rPr>
        <w:t>3</w:t>
      </w:r>
      <w:r>
        <w:rPr>
          <w:rFonts w:hint="eastAsia" w:ascii="宋体" w:hAnsi="宋体" w:cs="宋体"/>
          <w:sz w:val="24"/>
        </w:rPr>
        <w:t>分）、良（1.5分）、一般（1分）分档打分，同等档次可得相同分。（提供相关证明材料）</w:t>
      </w:r>
    </w:p>
    <w:p>
      <w:pPr>
        <w:pStyle w:val="10"/>
        <w:tabs>
          <w:tab w:val="left" w:pos="426"/>
          <w:tab w:val="left" w:pos="567"/>
          <w:tab w:val="left" w:pos="851"/>
        </w:tabs>
        <w:spacing w:line="500" w:lineRule="exact"/>
        <w:ind w:left="420" w:firstLine="288" w:firstLineChars="120"/>
        <w:rPr>
          <w:rFonts w:ascii="宋体" w:hAnsi="宋体" w:cs="宋体"/>
          <w:sz w:val="24"/>
        </w:rPr>
      </w:pPr>
      <w:r>
        <w:rPr>
          <w:rFonts w:hint="eastAsia" w:ascii="宋体" w:hAnsi="宋体" w:cs="宋体"/>
          <w:sz w:val="24"/>
        </w:rPr>
        <w:t>（2）成功案例（</w:t>
      </w:r>
      <w:r>
        <w:rPr>
          <w:rFonts w:hint="eastAsia" w:ascii="宋体" w:hAnsi="宋体" w:cs="宋体"/>
          <w:sz w:val="24"/>
          <w:lang w:val="en-US" w:eastAsia="zh-CN"/>
        </w:rPr>
        <w:t>2</w:t>
      </w:r>
      <w:r>
        <w:rPr>
          <w:rFonts w:hint="eastAsia" w:ascii="宋体" w:hAnsi="宋体" w:cs="宋体"/>
          <w:sz w:val="24"/>
        </w:rPr>
        <w:t>分）：查看投标人所投设备自201</w:t>
      </w:r>
      <w:r>
        <w:rPr>
          <w:rFonts w:hint="eastAsia" w:ascii="宋体" w:hAnsi="宋体" w:cs="宋体"/>
          <w:sz w:val="24"/>
          <w:lang w:val="en-US" w:eastAsia="zh-CN"/>
        </w:rPr>
        <w:t>8</w:t>
      </w:r>
      <w:r>
        <w:rPr>
          <w:rFonts w:hint="eastAsia" w:ascii="宋体" w:hAnsi="宋体" w:cs="宋体"/>
          <w:sz w:val="24"/>
        </w:rPr>
        <w:t>年至今的销售业绩，以合同或中标通知书方式体现，少于</w:t>
      </w:r>
      <w:r>
        <w:rPr>
          <w:rFonts w:hint="eastAsia" w:ascii="宋体" w:hAnsi="宋体" w:cs="宋体"/>
          <w:sz w:val="24"/>
          <w:lang w:val="en-US" w:eastAsia="zh-CN"/>
        </w:rPr>
        <w:t>2</w:t>
      </w:r>
      <w:r>
        <w:rPr>
          <w:rFonts w:hint="eastAsia" w:ascii="宋体" w:hAnsi="宋体" w:cs="宋体"/>
          <w:sz w:val="24"/>
        </w:rPr>
        <w:t>例不得分，满足</w:t>
      </w:r>
      <w:r>
        <w:rPr>
          <w:rFonts w:hint="eastAsia" w:ascii="宋体" w:hAnsi="宋体" w:cs="宋体"/>
          <w:sz w:val="24"/>
          <w:lang w:val="en-US" w:eastAsia="zh-CN"/>
        </w:rPr>
        <w:t>2</w:t>
      </w:r>
      <w:r>
        <w:rPr>
          <w:rFonts w:hint="eastAsia" w:ascii="宋体" w:hAnsi="宋体" w:cs="宋体"/>
          <w:sz w:val="24"/>
        </w:rPr>
        <w:t>例得1分，每加一例加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分。（本项以原件或公证件原件为准，复印件装订在标书内）</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6.2.4服务承诺（</w:t>
      </w:r>
      <w:r>
        <w:rPr>
          <w:rFonts w:hint="eastAsia" w:ascii="宋体" w:hAnsi="宋体" w:cs="宋体"/>
          <w:sz w:val="24"/>
          <w:lang w:val="en-US" w:eastAsia="zh-CN"/>
        </w:rPr>
        <w:t>5</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（1）售后服务方案（</w:t>
      </w:r>
      <w:r>
        <w:rPr>
          <w:rFonts w:hint="eastAsia" w:ascii="宋体" w:hAnsi="宋体" w:cs="宋体"/>
          <w:sz w:val="24"/>
          <w:lang w:val="en-US" w:eastAsia="zh-CN"/>
        </w:rPr>
        <w:t>2</w:t>
      </w:r>
      <w:r>
        <w:rPr>
          <w:rFonts w:hint="eastAsia" w:ascii="宋体" w:hAnsi="宋体" w:cs="宋体"/>
          <w:sz w:val="24"/>
        </w:rPr>
        <w:t>分）：比较各投标人的售后服务承诺的实质性内容（售后服务机构的设置、服务人员配备、服务内容、服务响应时间、故障应急措施及修复时限等），综合最优的得满分，其他分档等差</w:t>
      </w:r>
      <w:r>
        <w:rPr>
          <w:rFonts w:hint="eastAsia" w:ascii="宋体" w:hAnsi="宋体" w:cs="宋体"/>
          <w:sz w:val="24"/>
          <w:lang w:val="en-US" w:eastAsia="zh-CN"/>
        </w:rPr>
        <w:t>0.4</w:t>
      </w:r>
      <w:r>
        <w:rPr>
          <w:rFonts w:hint="eastAsia" w:ascii="宋体" w:hAnsi="宋体" w:cs="宋体"/>
          <w:sz w:val="24"/>
        </w:rPr>
        <w:t>分给分，同等档次可得相同分。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（2）质保期（</w:t>
      </w:r>
      <w:r>
        <w:rPr>
          <w:rFonts w:hint="eastAsia" w:ascii="宋体" w:hAnsi="宋体" w:cs="宋体"/>
          <w:sz w:val="24"/>
          <w:lang w:val="en-US" w:eastAsia="zh-CN"/>
        </w:rPr>
        <w:t>2</w:t>
      </w:r>
      <w:r>
        <w:rPr>
          <w:rFonts w:hint="eastAsia" w:ascii="宋体" w:hAnsi="宋体" w:cs="宋体"/>
          <w:sz w:val="24"/>
        </w:rPr>
        <w:t>分）：比较设备的免费质量保证期，仅满足招标文件要求的本项不得分，每延长</w:t>
      </w:r>
      <w:r>
        <w:rPr>
          <w:rFonts w:hint="eastAsia" w:ascii="宋体" w:hAnsi="宋体" w:cs="宋体"/>
          <w:sz w:val="24"/>
          <w:lang w:eastAsia="zh-CN"/>
        </w:rPr>
        <w:t>壹</w:t>
      </w:r>
      <w:r>
        <w:rPr>
          <w:rFonts w:hint="eastAsia" w:ascii="宋体" w:hAnsi="宋体" w:cs="宋体"/>
          <w:sz w:val="24"/>
        </w:rPr>
        <w:t>年的加</w:t>
      </w:r>
      <w:r>
        <w:rPr>
          <w:rFonts w:hint="eastAsia" w:ascii="宋体" w:hAnsi="宋体" w:cs="宋体"/>
          <w:sz w:val="24"/>
          <w:lang w:val="en-US" w:eastAsia="zh-CN"/>
        </w:rPr>
        <w:t>1</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（3）培训计划（</w:t>
      </w:r>
      <w:r>
        <w:rPr>
          <w:rFonts w:hint="eastAsia" w:ascii="宋体" w:hAnsi="宋体" w:cs="宋体"/>
          <w:sz w:val="24"/>
          <w:lang w:val="en-US" w:eastAsia="zh-CN"/>
        </w:rPr>
        <w:t>1</w:t>
      </w:r>
      <w:r>
        <w:rPr>
          <w:rFonts w:hint="eastAsia" w:ascii="宋体" w:hAnsi="宋体" w:cs="宋体"/>
          <w:sz w:val="24"/>
        </w:rPr>
        <w:t>分）：根据各投标人培训安排情况，综合最优的得</w:t>
      </w:r>
      <w:r>
        <w:rPr>
          <w:rFonts w:hint="eastAsia" w:ascii="宋体" w:hAnsi="宋体" w:cs="宋体"/>
          <w:sz w:val="24"/>
          <w:lang w:val="en-US" w:eastAsia="zh-CN"/>
        </w:rPr>
        <w:t>1</w:t>
      </w:r>
      <w:r>
        <w:rPr>
          <w:rFonts w:hint="eastAsia" w:ascii="宋体" w:hAnsi="宋体" w:cs="宋体"/>
          <w:sz w:val="24"/>
        </w:rPr>
        <w:t>分，其他分档等差</w:t>
      </w:r>
      <w:r>
        <w:rPr>
          <w:rFonts w:hint="eastAsia" w:ascii="宋体" w:hAnsi="宋体" w:cs="宋体"/>
          <w:sz w:val="24"/>
          <w:lang w:val="en-US" w:eastAsia="zh-CN"/>
        </w:rPr>
        <w:t>0.2</w:t>
      </w:r>
      <w:r>
        <w:rPr>
          <w:rFonts w:hint="eastAsia" w:ascii="宋体" w:hAnsi="宋体" w:cs="宋体"/>
          <w:sz w:val="24"/>
        </w:rPr>
        <w:t>分得分，同等档次可得相同分。</w:t>
      </w:r>
    </w:p>
    <w:p>
      <w:pPr>
        <w:pStyle w:val="10"/>
        <w:numPr>
          <w:ilvl w:val="0"/>
          <w:numId w:val="0"/>
        </w:numPr>
        <w:tabs>
          <w:tab w:val="left" w:pos="426"/>
          <w:tab w:val="left" w:pos="567"/>
        </w:tabs>
        <w:spacing w:line="500" w:lineRule="exact"/>
        <w:ind w:left="719" w:leftChars="228" w:hanging="240" w:hangingChars="100"/>
        <w:rPr>
          <w:rFonts w:ascii="宋体" w:hAnsi="宋体" w:cs="宋体"/>
          <w:sz w:val="24"/>
        </w:rPr>
      </w:pPr>
      <w:r>
        <w:rPr>
          <w:rFonts w:hint="eastAsia" w:ascii="宋体" w:hAnsi="宋体" w:cs="宋体"/>
          <w:sz w:val="24"/>
          <w:lang w:val="en-US" w:eastAsia="zh-CN"/>
        </w:rPr>
        <w:t>7.</w:t>
      </w:r>
      <w:r>
        <w:rPr>
          <w:rFonts w:hint="eastAsia" w:ascii="宋体" w:hAnsi="宋体" w:cs="宋体"/>
          <w:sz w:val="24"/>
        </w:rPr>
        <w:t>确定中标单位：评审后按累计得分高低顺序排名确定中标人。得分相同的，按投标报价由低到高顺序排名，得分且投标报价相同的，按技术指标优劣顺序排名。</w:t>
      </w:r>
    </w:p>
    <w:p>
      <w:pPr>
        <w:pStyle w:val="10"/>
        <w:numPr>
          <w:ilvl w:val="0"/>
          <w:numId w:val="0"/>
        </w:numPr>
        <w:tabs>
          <w:tab w:val="left" w:pos="426"/>
          <w:tab w:val="left" w:pos="567"/>
        </w:tabs>
        <w:spacing w:line="500" w:lineRule="exact"/>
        <w:ind w:left="480" w:hanging="480" w:hangingChars="200"/>
        <w:jc w:val="left"/>
        <w:rPr>
          <w:rFonts w:ascii="宋体" w:hAnsi="宋体"/>
          <w:sz w:val="24"/>
        </w:rPr>
      </w:pPr>
      <w:r>
        <w:rPr>
          <w:rFonts w:hint="eastAsia" w:ascii="宋体" w:hAnsi="宋体"/>
          <w:sz w:val="24"/>
          <w:lang w:eastAsia="zh-CN"/>
        </w:rPr>
        <w:t>七、</w:t>
      </w:r>
      <w:r>
        <w:rPr>
          <w:rFonts w:hint="eastAsia" w:ascii="宋体" w:hAnsi="宋体"/>
          <w:sz w:val="24"/>
        </w:rPr>
        <w:t>付款方式：货物全部安装调试结束，验收合格后，一个月内付合同总价的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w:t>
      </w:r>
      <w:r>
        <w:rPr>
          <w:rFonts w:hint="eastAsia" w:ascii="宋体" w:hAnsi="宋体"/>
          <w:sz w:val="24"/>
        </w:rPr>
        <w:t>正常使用6个月后付合同总价的20%；余款10 %作为质量保证金，在一年后无质量问题且履约情况完全符合谈判响应文件的服务承诺则付清</w:t>
      </w:r>
      <w:r>
        <w:rPr>
          <w:rFonts w:hint="eastAsia" w:ascii="宋体" w:hAnsi="宋体"/>
          <w:sz w:val="24"/>
          <w:lang w:eastAsia="zh-CN"/>
        </w:rPr>
        <w:t>余</w:t>
      </w:r>
      <w:r>
        <w:rPr>
          <w:rFonts w:hint="eastAsia" w:ascii="宋体" w:hAnsi="宋体"/>
          <w:sz w:val="24"/>
        </w:rPr>
        <w:t>款。</w:t>
      </w:r>
    </w:p>
    <w:p>
      <w:pPr>
        <w:pStyle w:val="10"/>
        <w:numPr>
          <w:ilvl w:val="0"/>
          <w:numId w:val="0"/>
        </w:numPr>
        <w:tabs>
          <w:tab w:val="left" w:pos="426"/>
          <w:tab w:val="left" w:pos="567"/>
        </w:tabs>
        <w:spacing w:line="500" w:lineRule="exact"/>
        <w:ind w:leftChars="0"/>
        <w:jc w:val="left"/>
        <w:rPr>
          <w:rFonts w:ascii="宋体" w:hAnsi="宋体"/>
          <w:sz w:val="24"/>
        </w:rPr>
      </w:pPr>
      <w:r>
        <w:rPr>
          <w:rFonts w:hint="eastAsia" w:ascii="宋体" w:hAnsi="宋体"/>
          <w:sz w:val="24"/>
          <w:lang w:eastAsia="zh-CN"/>
        </w:rPr>
        <w:t>八、</w:t>
      </w:r>
      <w:r>
        <w:rPr>
          <w:rFonts w:hint="eastAsia" w:ascii="宋体" w:hAnsi="宋体"/>
          <w:sz w:val="24"/>
        </w:rPr>
        <w:t>交货日期和交货地点：合同签订后15天内，扬中市</w:t>
      </w:r>
      <w:r>
        <w:rPr>
          <w:rFonts w:hint="eastAsia" w:ascii="宋体" w:hAnsi="宋体"/>
          <w:sz w:val="24"/>
          <w:lang w:val="en-US" w:eastAsia="zh-CN"/>
        </w:rPr>
        <w:t>中</w:t>
      </w:r>
      <w:r>
        <w:rPr>
          <w:rFonts w:hint="eastAsia" w:ascii="宋体" w:hAnsi="宋体"/>
          <w:sz w:val="24"/>
        </w:rPr>
        <w:t>医院院内。</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sz w:val="24"/>
          <w:lang w:eastAsia="zh-CN"/>
        </w:rPr>
        <w:t>九、</w:t>
      </w:r>
      <w:r>
        <w:rPr>
          <w:rFonts w:hint="eastAsia" w:ascii="宋体" w:hAnsi="宋体"/>
          <w:sz w:val="24"/>
        </w:rPr>
        <w:t>递交投标文件时间、开标时间、地点</w:t>
      </w:r>
    </w:p>
    <w:p>
      <w:pPr>
        <w:pStyle w:val="10"/>
        <w:numPr>
          <w:ilvl w:val="0"/>
          <w:numId w:val="4"/>
        </w:numPr>
        <w:tabs>
          <w:tab w:val="left" w:pos="426"/>
          <w:tab w:val="left" w:pos="567"/>
        </w:tabs>
        <w:spacing w:line="500" w:lineRule="exact"/>
        <w:ind w:firstLineChars="0"/>
        <w:jc w:val="left"/>
        <w:rPr>
          <w:rFonts w:hint="eastAsia" w:ascii="宋体" w:hAnsi="宋体"/>
          <w:sz w:val="24"/>
        </w:rPr>
      </w:pPr>
      <w:r>
        <w:rPr>
          <w:rFonts w:hint="eastAsia" w:ascii="宋体" w:hAnsi="宋体"/>
          <w:sz w:val="24"/>
        </w:rPr>
        <w:t>投标响应报名截止时间：20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29</w:t>
      </w:r>
      <w:r>
        <w:rPr>
          <w:rFonts w:hint="eastAsia" w:ascii="宋体" w:hAnsi="宋体"/>
          <w:sz w:val="24"/>
        </w:rPr>
        <w:t>日16时</w:t>
      </w:r>
    </w:p>
    <w:p>
      <w:pPr>
        <w:pStyle w:val="10"/>
        <w:numPr>
          <w:ilvl w:val="0"/>
          <w:numId w:val="4"/>
        </w:numPr>
        <w:tabs>
          <w:tab w:val="left" w:pos="426"/>
          <w:tab w:val="left" w:pos="567"/>
        </w:tabs>
        <w:spacing w:line="500" w:lineRule="exact"/>
        <w:ind w:firstLineChars="0"/>
        <w:jc w:val="left"/>
        <w:rPr>
          <w:rFonts w:ascii="宋体" w:hAnsi="宋体"/>
          <w:sz w:val="24"/>
        </w:rPr>
      </w:pPr>
      <w:r>
        <w:rPr>
          <w:rFonts w:hint="eastAsia" w:ascii="宋体" w:hAnsi="宋体"/>
          <w:sz w:val="24"/>
        </w:rPr>
        <w:t>递交投标文件时间：</w:t>
      </w:r>
      <w:r>
        <w:rPr>
          <w:rFonts w:ascii="宋体" w:hAnsi="宋体"/>
          <w:sz w:val="24"/>
        </w:rPr>
        <w:t>20</w:t>
      </w:r>
      <w:r>
        <w:rPr>
          <w:rFonts w:hint="eastAsia" w:ascii="宋体" w:hAnsi="宋体"/>
          <w:sz w:val="24"/>
          <w:lang w:val="en-US" w:eastAsia="zh-CN"/>
        </w:rPr>
        <w:t>20</w:t>
      </w:r>
      <w:r>
        <w:rPr>
          <w:rFonts w:hint="eastAsia" w:ascii="宋体" w:hAnsi="宋体"/>
          <w:sz w:val="24"/>
        </w:rPr>
        <w:t>年1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30</w:t>
      </w:r>
      <w:r>
        <w:rPr>
          <w:rFonts w:hint="eastAsia" w:ascii="宋体" w:hAnsi="宋体"/>
          <w:sz w:val="24"/>
        </w:rPr>
        <w:t>日1</w:t>
      </w:r>
      <w:r>
        <w:rPr>
          <w:rFonts w:hint="eastAsia" w:ascii="宋体" w:hAnsi="宋体"/>
          <w:sz w:val="24"/>
          <w:lang w:val="en-US" w:eastAsia="zh-CN"/>
        </w:rPr>
        <w:t>0</w:t>
      </w:r>
      <w:r>
        <w:rPr>
          <w:rFonts w:ascii="宋体" w:hAnsi="宋体"/>
          <w:sz w:val="24"/>
        </w:rPr>
        <w:t>:</w:t>
      </w:r>
      <w:r>
        <w:rPr>
          <w:rFonts w:hint="eastAsia" w:ascii="宋体" w:hAnsi="宋体"/>
          <w:sz w:val="24"/>
          <w:lang w:val="en-US" w:eastAsia="zh-CN"/>
        </w:rPr>
        <w:t>0</w:t>
      </w:r>
      <w:r>
        <w:rPr>
          <w:rFonts w:ascii="宋体" w:hAnsi="宋体"/>
          <w:sz w:val="24"/>
        </w:rPr>
        <w:t>0</w:t>
      </w:r>
      <w:r>
        <w:rPr>
          <w:rFonts w:hint="eastAsia" w:ascii="宋体" w:hAnsi="宋体"/>
          <w:sz w:val="24"/>
        </w:rPr>
        <w:t>（截止时间）。</w:t>
      </w:r>
    </w:p>
    <w:p>
      <w:pPr>
        <w:pStyle w:val="10"/>
        <w:numPr>
          <w:ilvl w:val="0"/>
          <w:numId w:val="4"/>
        </w:numPr>
        <w:tabs>
          <w:tab w:val="left" w:pos="426"/>
          <w:tab w:val="left" w:pos="567"/>
        </w:tabs>
        <w:spacing w:line="500" w:lineRule="exact"/>
        <w:ind w:firstLineChars="0"/>
        <w:jc w:val="left"/>
        <w:rPr>
          <w:rFonts w:ascii="宋体"/>
          <w:sz w:val="24"/>
        </w:rPr>
      </w:pPr>
      <w:r>
        <w:rPr>
          <w:rFonts w:hint="eastAsia" w:ascii="宋体" w:hAnsi="宋体"/>
          <w:sz w:val="24"/>
        </w:rPr>
        <w:t>开标时间：</w:t>
      </w:r>
      <w:r>
        <w:rPr>
          <w:rFonts w:ascii="宋体" w:hAnsi="宋体"/>
          <w:sz w:val="24"/>
        </w:rPr>
        <w:t>20</w:t>
      </w:r>
      <w:r>
        <w:rPr>
          <w:rFonts w:hint="eastAsia" w:ascii="宋体" w:hAnsi="宋体"/>
          <w:sz w:val="24"/>
          <w:lang w:val="en-US" w:eastAsia="zh-CN"/>
        </w:rPr>
        <w:t>20</w:t>
      </w:r>
      <w:r>
        <w:rPr>
          <w:rFonts w:hint="eastAsia" w:ascii="宋体" w:hAnsi="宋体"/>
          <w:sz w:val="24"/>
        </w:rPr>
        <w:t>年1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30</w:t>
      </w:r>
      <w:r>
        <w:rPr>
          <w:rFonts w:hint="eastAsia" w:ascii="宋体" w:hAnsi="宋体"/>
          <w:sz w:val="24"/>
        </w:rPr>
        <w:t>日1</w:t>
      </w:r>
      <w:r>
        <w:rPr>
          <w:rFonts w:hint="eastAsia" w:ascii="宋体" w:hAnsi="宋体"/>
          <w:sz w:val="24"/>
          <w:lang w:val="en-US" w:eastAsia="zh-CN"/>
        </w:rPr>
        <w:t>0</w:t>
      </w:r>
      <w:r>
        <w:rPr>
          <w:rFonts w:ascii="宋体" w:hAnsi="宋体"/>
          <w:sz w:val="24"/>
        </w:rPr>
        <w:t>:</w:t>
      </w:r>
      <w:r>
        <w:rPr>
          <w:rFonts w:hint="eastAsia" w:ascii="宋体" w:hAnsi="宋体"/>
          <w:sz w:val="24"/>
          <w:lang w:val="en-US" w:eastAsia="zh-CN"/>
        </w:rPr>
        <w:t>0</w:t>
      </w:r>
      <w:r>
        <w:rPr>
          <w:rFonts w:ascii="宋体" w:hAnsi="宋体"/>
          <w:sz w:val="24"/>
        </w:rPr>
        <w:t>0</w:t>
      </w:r>
      <w:r>
        <w:rPr>
          <w:rFonts w:hint="eastAsia" w:ascii="宋体" w:hAnsi="宋体"/>
          <w:sz w:val="24"/>
        </w:rPr>
        <w:t>，届时请供应商代表（</w:t>
      </w:r>
      <w:r>
        <w:rPr>
          <w:rFonts w:ascii="宋体" w:hAnsi="宋体"/>
          <w:sz w:val="24"/>
        </w:rPr>
        <w:t>3</w:t>
      </w:r>
      <w:r>
        <w:rPr>
          <w:rFonts w:hint="eastAsia" w:ascii="宋体" w:hAnsi="宋体"/>
          <w:sz w:val="24"/>
        </w:rPr>
        <w:t>人以内）出席开标、评标会议。</w:t>
      </w:r>
      <w:r>
        <w:rPr>
          <w:rFonts w:hint="eastAsia" w:ascii="宋体" w:hAnsi="宋体"/>
          <w:sz w:val="24"/>
          <w:lang w:eastAsia="zh-CN"/>
        </w:rPr>
        <w:t>如遇特殊情况，</w:t>
      </w:r>
      <w:r>
        <w:rPr>
          <w:rFonts w:hint="eastAsia" w:ascii="宋体" w:hAnsi="宋体"/>
          <w:sz w:val="24"/>
        </w:rPr>
        <w:t>开标时间</w:t>
      </w:r>
      <w:r>
        <w:rPr>
          <w:rFonts w:hint="eastAsia" w:ascii="宋体" w:hAnsi="宋体" w:eastAsia="宋体" w:cs="Times New Roman"/>
          <w:kern w:val="2"/>
          <w:sz w:val="24"/>
          <w:szCs w:val="24"/>
          <w:lang w:val="en-US" w:eastAsia="zh-CN" w:bidi="ar-SA"/>
        </w:rPr>
        <w:t>另行通知</w:t>
      </w:r>
      <w:r>
        <w:rPr>
          <w:rFonts w:hint="eastAsia" w:ascii="宋体" w:hAnsi="宋体" w:cs="Times New Roman"/>
          <w:kern w:val="2"/>
          <w:sz w:val="24"/>
          <w:szCs w:val="24"/>
          <w:lang w:val="en-US" w:eastAsia="zh-CN" w:bidi="ar-SA"/>
        </w:rPr>
        <w:t>。</w:t>
      </w:r>
    </w:p>
    <w:p>
      <w:pPr>
        <w:pStyle w:val="10"/>
        <w:numPr>
          <w:ilvl w:val="0"/>
          <w:numId w:val="4"/>
        </w:numPr>
        <w:tabs>
          <w:tab w:val="left" w:pos="426"/>
          <w:tab w:val="left" w:pos="567"/>
        </w:tabs>
        <w:spacing w:line="500" w:lineRule="exact"/>
        <w:ind w:firstLineChars="0"/>
        <w:jc w:val="left"/>
        <w:rPr>
          <w:rFonts w:ascii="宋体" w:cs="宋体"/>
          <w:sz w:val="24"/>
        </w:rPr>
      </w:pPr>
      <w:r>
        <w:rPr>
          <w:rFonts w:hint="eastAsia" w:ascii="宋体" w:hAnsi="宋体"/>
          <w:sz w:val="24"/>
        </w:rPr>
        <w:t>投标、开标地点：</w:t>
      </w:r>
      <w:r>
        <w:rPr>
          <w:rFonts w:hint="eastAsia" w:ascii="宋体" w:hAnsi="宋体" w:eastAsia="宋体" w:cs="Times New Roman"/>
          <w:kern w:val="2"/>
          <w:sz w:val="24"/>
          <w:szCs w:val="24"/>
          <w:lang w:val="en-US" w:eastAsia="zh-CN" w:bidi="ar-SA"/>
        </w:rPr>
        <w:t>扬中市中医院行政楼三楼会议室</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sz w:val="24"/>
          <w:lang w:eastAsia="zh-CN"/>
        </w:rPr>
        <w:t>十、</w:t>
      </w:r>
      <w:r>
        <w:rPr>
          <w:rFonts w:hint="eastAsia" w:ascii="宋体" w:hAnsi="宋体"/>
          <w:sz w:val="24"/>
        </w:rPr>
        <w:t>联系方式</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、联系人：董翠萍</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、联系方式：扬中市中医院设备器械科        0511-88020893</w:t>
      </w:r>
    </w:p>
    <w:p>
      <w:pPr>
        <w:tabs>
          <w:tab w:val="left" w:pos="426"/>
          <w:tab w:val="left" w:pos="567"/>
        </w:tabs>
        <w:spacing w:line="5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 xml:space="preserve">地址：扬中市扬子东路125号 </w:t>
      </w:r>
    </w:p>
    <w:p>
      <w:pPr>
        <w:tabs>
          <w:tab w:val="left" w:pos="426"/>
          <w:tab w:val="left" w:pos="567"/>
        </w:tabs>
        <w:spacing w:line="500" w:lineRule="exact"/>
        <w:ind w:firstLine="480" w:firstLineChars="200"/>
        <w:rPr>
          <w:rFonts w:ascii="宋体" w:hAnsi="宋体"/>
        </w:rPr>
      </w:pPr>
      <w:r>
        <w:rPr>
          <w:rFonts w:hint="eastAsia" w:ascii="宋体" w:hAnsi="宋体" w:eastAsia="宋体" w:cs="Times New Roman"/>
          <w:kern w:val="2"/>
          <w:sz w:val="24"/>
          <w:szCs w:val="24"/>
          <w:lang w:val="en-US" w:eastAsia="zh-CN" w:bidi="ar-SA"/>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电动手术床</w:t>
      </w:r>
      <w:r>
        <w:rPr>
          <w:rFonts w:hint="eastAsia" w:ascii="宋体" w:hAnsi="宋体"/>
          <w:b/>
          <w:sz w:val="30"/>
          <w:szCs w:val="30"/>
          <w:lang w:val="en-US" w:eastAsia="zh-CN"/>
        </w:rPr>
        <w:t>供应与服务</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微软雅黑"/>
          <w:b/>
          <w:color w:val="auto"/>
          <w:sz w:val="32"/>
          <w:lang w:eastAsia="zh-CN"/>
        </w:rPr>
        <w:t>二</w:t>
      </w:r>
      <w:r>
        <w:rPr>
          <w:rFonts w:hint="eastAsia" w:ascii="宋体" w:hAnsi="宋体" w:cs="微软雅黑"/>
          <w:b/>
          <w:color w:val="auto"/>
          <w:sz w:val="32"/>
        </w:rPr>
        <w:t>〇</w:t>
      </w:r>
      <w:r>
        <w:rPr>
          <w:rFonts w:hint="eastAsia" w:ascii="宋体" w:hAnsi="宋体"/>
          <w:b/>
          <w:sz w:val="28"/>
          <w:szCs w:val="28"/>
        </w:rPr>
        <w:t xml:space="preserve">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hint="eastAsia" w:ascii="宋体" w:hAnsi="宋体"/>
          <w:sz w:val="28"/>
          <w:szCs w:val="2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sz w:val="28"/>
          <w:szCs w:val="22"/>
          <w:lang w:eastAsia="zh-CN"/>
        </w:rPr>
        <w:t>电动手术床</w:t>
      </w:r>
      <w:r>
        <w:rPr>
          <w:rFonts w:hint="eastAsia" w:ascii="宋体" w:hAnsi="宋体"/>
          <w:sz w:val="28"/>
          <w:szCs w:val="22"/>
          <w:lang w:val="en-US" w:eastAsia="zh-CN"/>
        </w:rPr>
        <w:t>供应与服务</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w:t>
      </w:r>
      <w:r>
        <w:rPr>
          <w:rFonts w:hint="eastAsia" w:ascii="宋体" w:hAnsi="宋体"/>
          <w:sz w:val="28"/>
          <w:szCs w:val="22"/>
        </w:rPr>
        <w:t>壹份，副本一式</w:t>
      </w:r>
      <w:r>
        <w:rPr>
          <w:rFonts w:hint="eastAsia" w:ascii="宋体" w:hAnsi="宋体"/>
          <w:sz w:val="28"/>
          <w:szCs w:val="22"/>
          <w:lang w:eastAsia="zh-CN"/>
        </w:rPr>
        <w:t>肆</w:t>
      </w:r>
      <w:r>
        <w:rPr>
          <w:rFonts w:hint="eastAsia" w:ascii="宋体" w:hAnsi="宋体"/>
          <w:sz w:val="28"/>
          <w:szCs w:val="22"/>
        </w:rPr>
        <w:t>份。</w:t>
      </w:r>
    </w:p>
    <w:p>
      <w:pPr>
        <w:snapToGrid w:val="0"/>
        <w:spacing w:line="360" w:lineRule="auto"/>
        <w:ind w:firstLine="560" w:firstLineChars="200"/>
        <w:rPr>
          <w:rFonts w:hint="eastAsia" w:ascii="宋体" w:hAnsi="宋体"/>
          <w:sz w:val="28"/>
          <w:szCs w:val="22"/>
        </w:rPr>
      </w:pPr>
      <w:r>
        <w:rPr>
          <w:rFonts w:hint="eastAsia" w:ascii="宋体" w:hAnsi="宋体"/>
          <w:sz w:val="28"/>
          <w:szCs w:val="22"/>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9Tnk1gAAAAkBAAAPAAAAAAAAAAEAIAAAACIA&#10;AABkcnMvZG93bnJldi54bWxQSwECFAAUAAAACACHTuJAfzXxjgsCAAAl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6AY3VAAAACAEAAA8AAAAAAAAAAQAgAAAAIgAA&#10;AGRycy9kb3ducmV2LnhtbFBLAQIUABQAAAAIAIdO4kDeNe/OCwIAACUEAAAOAAAAAAAAAAEAIAAA&#10;ACQBAABkcnMvZTJvRG9jLnhtbFBLBQYAAAAABgAGAFkBAAChBQAAAAA=&#10;">
                <v:fill on="t" focussize="0,0"/>
                <v:stroke color="#000000" miterlimit="8" joinstyle="miter"/>
                <v:imagedata o:title=""/>
                <o:lock v:ext="edit" aspectratio="f"/>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4B&#10;ntYAAAAJAQAADwAAAAAAAAABACAAAAAiAAAAZHJzL2Rvd25yZXYueG1sUEsBAhQAFAAAAAgAh07i&#10;QGj+BBLrAQAAxgMAAA4AAAAAAAAAAQAgAAAAJQEAAGRycy9lMm9Eb2MueG1sUEsFBgAAAAAGAAYA&#10;WQEAAII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ascii="宋体" w:hAnsi="宋体"/>
          <w:b/>
          <w:sz w:val="30"/>
          <w:szCs w:val="30"/>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Ind w:w="0" w:type="dxa"/>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Layout w:type="fixed"/>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Layout w:type="fixed"/>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bookmarkEnd w:id="28"/>
    <w:p>
      <w:pPr>
        <w:spacing w:line="340" w:lineRule="atLeast"/>
        <w:ind w:firstLine="560" w:firstLineChars="200"/>
        <w:jc w:val="left"/>
        <w:outlineLvl w:val="0"/>
        <w:rPr>
          <w:rFonts w:ascii="宋体"/>
          <w:bCs/>
          <w:sz w:val="28"/>
          <w:szCs w:val="28"/>
        </w:rPr>
      </w:pPr>
      <w:bookmarkStart w:id="29" w:name="_Toc219626813"/>
      <w:r>
        <w:rPr>
          <w:rFonts w:hint="eastAsia" w:ascii="宋体" w:hAnsi="宋体"/>
          <w:bCs/>
          <w:sz w:val="28"/>
          <w:szCs w:val="28"/>
        </w:rPr>
        <w:t>投标产品最近两年在</w:t>
      </w:r>
      <w:r>
        <w:rPr>
          <w:rFonts w:hint="eastAsia" w:ascii="宋体" w:hAnsi="宋体"/>
          <w:bCs/>
          <w:sz w:val="28"/>
          <w:szCs w:val="28"/>
          <w:lang w:eastAsia="zh-CN"/>
        </w:rPr>
        <w:t>江苏省</w:t>
      </w:r>
      <w:r>
        <w:rPr>
          <w:rFonts w:hint="eastAsia" w:ascii="宋体" w:hAnsi="宋体"/>
          <w:bCs/>
          <w:sz w:val="28"/>
          <w:szCs w:val="28"/>
        </w:rPr>
        <w:t>销售合同（复印）≥</w:t>
      </w:r>
      <w:r>
        <w:rPr>
          <w:rFonts w:hint="eastAsia" w:ascii="宋体" w:hAnsi="宋体"/>
          <w:bCs/>
          <w:sz w:val="28"/>
          <w:szCs w:val="28"/>
          <w:lang w:eastAsia="zh-CN"/>
        </w:rPr>
        <w:t>贰</w:t>
      </w:r>
      <w:r>
        <w:rPr>
          <w:rFonts w:hint="eastAsia" w:ascii="宋体" w:hAnsi="宋体"/>
          <w:bCs/>
          <w:sz w:val="28"/>
          <w:szCs w:val="28"/>
        </w:rPr>
        <w:t>份</w:t>
      </w:r>
      <w:bookmarkStart w:id="30" w:name="_Toc219626812"/>
      <w:r>
        <w:rPr>
          <w:rFonts w:hint="eastAsia" w:ascii="宋体" w:hAnsi="宋体"/>
          <w:bCs/>
          <w:sz w:val="28"/>
          <w:szCs w:val="28"/>
        </w:rPr>
        <w:t>（原始合同复印件或中标通知书复印件加盖投标企业公章）</w:t>
      </w:r>
      <w:bookmarkEnd w:id="30"/>
      <w:r>
        <w:rPr>
          <w:rFonts w:hint="eastAsia" w:ascii="宋体" w:hAnsi="宋体"/>
          <w:bCs/>
          <w:sz w:val="28"/>
          <w:szCs w:val="28"/>
        </w:rPr>
        <w:t>。</w:t>
      </w: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29"/>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w:t>
      </w:r>
      <w:r>
        <w:rPr>
          <w:rFonts w:hint="eastAsia" w:ascii="宋体" w:hAnsi="宋体" w:cs="楷体"/>
          <w:sz w:val="24"/>
          <w:szCs w:val="24"/>
          <w:lang w:eastAsia="zh-CN"/>
        </w:rPr>
        <w:t>；</w:t>
      </w:r>
      <w:r>
        <w:rPr>
          <w:rFonts w:hint="eastAsia" w:ascii="宋体" w:hAnsi="宋体" w:cs="楷体"/>
          <w:sz w:val="24"/>
          <w:szCs w:val="24"/>
        </w:rPr>
        <w:t>正常使用6个月后付合同总价的20%；余款10%在设备正常使用满一年无质量问题且履约情况完全符合合同中的服务承诺则一次性付清余款。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hint="eastAsia" w:ascii="宋体" w:hAnsi="宋体"/>
          <w:sz w:val="44"/>
          <w:szCs w:val="44"/>
          <w:lang w:eastAsia="zh-CN"/>
        </w:rPr>
      </w:pPr>
    </w:p>
    <w:p>
      <w:pPr>
        <w:pStyle w:val="11"/>
        <w:numPr>
          <w:ilvl w:val="0"/>
          <w:numId w:val="0"/>
        </w:numPr>
        <w:spacing w:after="240" w:line="500" w:lineRule="exact"/>
        <w:ind w:firstLine="883" w:firstLineChars="2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一、项目名称：</w:t>
      </w:r>
      <w:r>
        <w:rPr>
          <w:rFonts w:hint="eastAsia" w:ascii="宋体" w:hAnsi="宋体" w:cs="Times New Roman"/>
          <w:kern w:val="0"/>
          <w:sz w:val="24"/>
          <w:szCs w:val="24"/>
          <w:lang w:val="en-US" w:eastAsia="zh-CN"/>
        </w:rPr>
        <w:t>电动手术床</w:t>
      </w:r>
      <w:r>
        <w:rPr>
          <w:rFonts w:hint="eastAsia" w:ascii="宋体" w:hAnsi="宋体" w:eastAsia="宋体" w:cs="Times New Roman"/>
          <w:kern w:val="0"/>
          <w:sz w:val="24"/>
          <w:szCs w:val="24"/>
          <w:lang w:val="en-US" w:eastAsia="zh-CN"/>
        </w:rPr>
        <w:t xml:space="preserve"> </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二、数    量：壹  台</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三、用途说明：供医院临床各科手术用，能安置各种手术体位。</w:t>
      </w:r>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四</w:t>
      </w:r>
      <w:r>
        <w:rPr>
          <w:rFonts w:hint="eastAsia" w:ascii="宋体" w:hAnsi="宋体" w:eastAsia="宋体" w:cs="Times New Roman"/>
          <w:kern w:val="0"/>
          <w:sz w:val="24"/>
          <w:szCs w:val="24"/>
          <w:lang w:val="en-US" w:eastAsia="zh-CN"/>
        </w:rPr>
        <w:t>、采购需求及技术参数：</w:t>
      </w:r>
    </w:p>
    <w:p>
      <w:pPr>
        <w:widowControl/>
        <w:numPr>
          <w:ilvl w:val="0"/>
          <w:numId w:val="0"/>
        </w:numPr>
        <w:adjustRightInd w:val="0"/>
        <w:snapToGrid w:val="0"/>
        <w:spacing w:line="360" w:lineRule="auto"/>
        <w:ind w:firstLine="960" w:firstLineChars="400"/>
        <w:jc w:val="left"/>
        <w:rPr>
          <w:rFonts w:hint="eastAsia" w:ascii="宋体" w:hAnsi="宋体" w:eastAsia="宋体"/>
          <w:b w:val="0"/>
          <w:bCs/>
          <w:color w:val="000000"/>
          <w:sz w:val="24"/>
          <w:szCs w:val="24"/>
          <w:shd w:val="clear" w:color="auto" w:fill="FFFFFF"/>
          <w:lang w:val="en-US" w:eastAsia="zh-CN"/>
        </w:rPr>
      </w:pPr>
      <w:r>
        <w:rPr>
          <w:rFonts w:hint="eastAsia" w:ascii="宋体" w:hAnsi="宋体"/>
          <w:b w:val="0"/>
          <w:bCs/>
          <w:color w:val="000000"/>
          <w:sz w:val="24"/>
          <w:szCs w:val="24"/>
          <w:shd w:val="clear" w:color="auto" w:fill="FFFFFF"/>
          <w:lang w:val="en-US" w:eastAsia="zh-CN"/>
        </w:rPr>
        <w:t>1.电动手术床整体为不锈钢材质，底座T型设计。</w:t>
      </w:r>
    </w:p>
    <w:p>
      <w:pPr>
        <w:numPr>
          <w:ilvl w:val="0"/>
          <w:numId w:val="0"/>
        </w:numPr>
        <w:shd w:val="solid" w:color="FFFFFF" w:fill="auto"/>
        <w:autoSpaceDN w:val="0"/>
        <w:spacing w:line="360" w:lineRule="auto"/>
        <w:ind w:left="958" w:leftChars="456" w:firstLine="0" w:firstLineChars="0"/>
        <w:jc w:val="left"/>
        <w:rPr>
          <w:rFonts w:ascii="宋体" w:hAnsi="宋体"/>
          <w:b w:val="0"/>
          <w:bCs/>
          <w:color w:val="000000"/>
          <w:sz w:val="24"/>
          <w:szCs w:val="24"/>
          <w:shd w:val="clear" w:color="auto" w:fill="FFFFFF"/>
        </w:rPr>
      </w:pPr>
      <w:r>
        <w:rPr>
          <w:rFonts w:hint="eastAsia" w:ascii="宋体" w:hAnsi="宋体"/>
          <w:b w:val="0"/>
          <w:bCs/>
          <w:color w:val="000000"/>
          <w:sz w:val="24"/>
          <w:szCs w:val="24"/>
          <w:shd w:val="clear" w:color="auto" w:fill="FFFFFF"/>
          <w:lang w:val="en-US" w:eastAsia="zh-CN"/>
        </w:rPr>
        <w:t>2.</w:t>
      </w:r>
      <w:r>
        <w:rPr>
          <w:rFonts w:ascii="宋体" w:hAnsi="宋体"/>
          <w:b w:val="0"/>
          <w:bCs/>
          <w:color w:val="000000"/>
          <w:sz w:val="24"/>
          <w:szCs w:val="24"/>
          <w:shd w:val="clear" w:color="auto" w:fill="FFFFFF"/>
        </w:rPr>
        <w:t>台面长度</w:t>
      </w:r>
      <w:r>
        <w:rPr>
          <w:rFonts w:hint="eastAsia" w:ascii="宋体" w:hAnsi="宋体"/>
          <w:b w:val="0"/>
          <w:bCs/>
          <w:color w:val="000000"/>
          <w:sz w:val="24"/>
          <w:szCs w:val="24"/>
          <w:shd w:val="clear" w:color="auto" w:fill="FFFFFF"/>
          <w:lang w:eastAsia="zh-CN"/>
        </w:rPr>
        <w:t>：</w:t>
      </w:r>
      <w:r>
        <w:rPr>
          <w:rFonts w:ascii="宋体" w:hAnsi="宋体"/>
          <w:b w:val="0"/>
          <w:bCs/>
          <w:color w:val="000000"/>
          <w:sz w:val="24"/>
          <w:szCs w:val="24"/>
          <w:shd w:val="clear" w:color="auto" w:fill="FFFFFF"/>
        </w:rPr>
        <w:t>20</w:t>
      </w:r>
      <w:r>
        <w:rPr>
          <w:rFonts w:hint="eastAsia" w:ascii="宋体" w:hAnsi="宋体"/>
          <w:b w:val="0"/>
          <w:bCs/>
          <w:color w:val="000000"/>
          <w:sz w:val="24"/>
          <w:szCs w:val="24"/>
          <w:shd w:val="clear" w:color="auto" w:fill="FFFFFF"/>
          <w:lang w:val="en-US" w:eastAsia="zh-CN"/>
        </w:rPr>
        <w:t>0</w:t>
      </w:r>
      <w:r>
        <w:rPr>
          <w:rFonts w:ascii="宋体" w:hAnsi="宋体"/>
          <w:b w:val="0"/>
          <w:bCs/>
          <w:color w:val="000000"/>
          <w:sz w:val="24"/>
          <w:szCs w:val="24"/>
          <w:shd w:val="clear" w:color="auto" w:fill="FFFFFF"/>
        </w:rPr>
        <w:t>0mm</w:t>
      </w:r>
    </w:p>
    <w:p>
      <w:pPr>
        <w:numPr>
          <w:ilvl w:val="0"/>
          <w:numId w:val="0"/>
        </w:numPr>
        <w:shd w:val="solid" w:color="FFFFFF" w:fill="auto"/>
        <w:autoSpaceDN w:val="0"/>
        <w:spacing w:line="360" w:lineRule="auto"/>
        <w:ind w:left="958" w:leftChars="456" w:firstLine="0" w:firstLineChars="0"/>
        <w:jc w:val="left"/>
        <w:rPr>
          <w:rFonts w:ascii="宋体" w:hAnsi="宋体"/>
          <w:b w:val="0"/>
          <w:bCs/>
          <w:color w:val="000000"/>
          <w:sz w:val="24"/>
          <w:szCs w:val="24"/>
          <w:shd w:val="clear" w:color="auto" w:fill="FFFFFF"/>
        </w:rPr>
      </w:pPr>
      <w:r>
        <w:rPr>
          <w:rFonts w:hint="eastAsia" w:ascii="宋体" w:hAnsi="宋体"/>
          <w:b w:val="0"/>
          <w:bCs/>
          <w:color w:val="000000"/>
          <w:sz w:val="24"/>
          <w:szCs w:val="24"/>
          <w:shd w:val="clear" w:color="auto" w:fill="FFFFFF"/>
          <w:lang w:val="en-US" w:eastAsia="zh-CN"/>
        </w:rPr>
        <w:t>3.</w:t>
      </w:r>
      <w:r>
        <w:rPr>
          <w:rFonts w:ascii="宋体" w:hAnsi="宋体"/>
          <w:b w:val="0"/>
          <w:bCs/>
          <w:color w:val="000000"/>
          <w:sz w:val="24"/>
          <w:szCs w:val="24"/>
          <w:shd w:val="clear" w:color="auto" w:fill="FFFFFF"/>
        </w:rPr>
        <w:t>台面宽度：</w:t>
      </w:r>
      <w:r>
        <w:rPr>
          <w:rFonts w:hint="eastAsia" w:ascii="宋体" w:hAnsi="宋体"/>
          <w:b w:val="0"/>
          <w:bCs/>
          <w:color w:val="000000"/>
          <w:sz w:val="24"/>
          <w:szCs w:val="24"/>
          <w:shd w:val="clear" w:color="auto" w:fill="FFFFFF"/>
          <w:lang w:val="en-US" w:eastAsia="zh-CN"/>
        </w:rPr>
        <w:t>500</w:t>
      </w:r>
      <w:r>
        <w:rPr>
          <w:rFonts w:ascii="宋体" w:hAnsi="宋体"/>
          <w:b w:val="0"/>
          <w:bCs/>
          <w:color w:val="000000"/>
          <w:sz w:val="24"/>
          <w:szCs w:val="24"/>
          <w:shd w:val="clear" w:color="auto" w:fill="FFFFFF"/>
        </w:rPr>
        <w:t>mm</w:t>
      </w:r>
      <w:r>
        <w:rPr>
          <w:rFonts w:ascii="宋体" w:hAnsi="宋体"/>
          <w:b w:val="0"/>
          <w:bCs/>
          <w:color w:val="000000"/>
          <w:sz w:val="24"/>
          <w:szCs w:val="24"/>
          <w:shd w:val="clear" w:color="auto" w:fill="FFFFFF"/>
        </w:rPr>
        <w:br w:type="textWrapping"/>
      </w:r>
      <w:r>
        <w:rPr>
          <w:rFonts w:hint="eastAsia" w:ascii="宋体" w:hAnsi="宋体"/>
          <w:b w:val="0"/>
          <w:bCs/>
          <w:color w:val="000000"/>
          <w:sz w:val="24"/>
          <w:szCs w:val="24"/>
          <w:shd w:val="clear" w:color="auto" w:fill="FFFFFF"/>
          <w:lang w:val="en-US" w:eastAsia="zh-CN"/>
        </w:rPr>
        <w:t>4</w:t>
      </w:r>
      <w:r>
        <w:rPr>
          <w:rFonts w:ascii="宋体" w:hAnsi="宋体"/>
          <w:b w:val="0"/>
          <w:bCs/>
          <w:color w:val="000000"/>
          <w:sz w:val="24"/>
          <w:szCs w:val="24"/>
          <w:shd w:val="clear" w:color="auto" w:fill="FFFFFF"/>
        </w:rPr>
        <w:t>.台面最高高度</w:t>
      </w:r>
      <w:r>
        <w:rPr>
          <w:rFonts w:hint="eastAsia" w:ascii="宋体" w:hAnsi="宋体"/>
          <w:b w:val="0"/>
          <w:bCs/>
          <w:color w:val="000000"/>
          <w:sz w:val="24"/>
          <w:szCs w:val="24"/>
          <w:shd w:val="clear" w:color="auto" w:fill="FFFFFF"/>
          <w:lang w:eastAsia="zh-CN"/>
        </w:rPr>
        <w:t>：</w:t>
      </w:r>
      <w:r>
        <w:rPr>
          <w:rFonts w:hint="eastAsia" w:ascii="宋体" w:hAnsi="宋体"/>
          <w:b w:val="0"/>
          <w:bCs/>
          <w:color w:val="000000"/>
          <w:sz w:val="24"/>
          <w:szCs w:val="24"/>
          <w:shd w:val="clear" w:color="auto" w:fill="FFFFFF"/>
          <w:lang w:val="en-US" w:eastAsia="zh-CN"/>
        </w:rPr>
        <w:t>100</w:t>
      </w:r>
      <w:r>
        <w:rPr>
          <w:rFonts w:ascii="宋体" w:hAnsi="宋体"/>
          <w:b w:val="0"/>
          <w:bCs/>
          <w:color w:val="000000"/>
          <w:sz w:val="24"/>
          <w:szCs w:val="24"/>
          <w:shd w:val="clear" w:color="auto" w:fill="FFFFFF"/>
        </w:rPr>
        <w:t>0mm</w:t>
      </w:r>
    </w:p>
    <w:p>
      <w:pPr>
        <w:numPr>
          <w:ilvl w:val="0"/>
          <w:numId w:val="0"/>
        </w:numPr>
        <w:shd w:val="solid" w:color="FFFFFF" w:fill="auto"/>
        <w:autoSpaceDN w:val="0"/>
        <w:spacing w:line="360" w:lineRule="auto"/>
        <w:ind w:left="958" w:leftChars="456" w:firstLine="0" w:firstLineChars="0"/>
        <w:jc w:val="left"/>
        <w:rPr>
          <w:rFonts w:ascii="宋体" w:hAnsi="宋体"/>
          <w:b w:val="0"/>
          <w:bCs/>
          <w:color w:val="000000"/>
          <w:sz w:val="24"/>
          <w:szCs w:val="24"/>
          <w:shd w:val="clear" w:color="auto" w:fill="FFFFFF"/>
        </w:rPr>
      </w:pPr>
      <w:r>
        <w:rPr>
          <w:rFonts w:hint="eastAsia" w:ascii="宋体" w:hAnsi="宋体"/>
          <w:b w:val="0"/>
          <w:bCs/>
          <w:color w:val="000000"/>
          <w:sz w:val="24"/>
          <w:szCs w:val="24"/>
          <w:shd w:val="clear" w:color="auto" w:fill="FFFFFF"/>
          <w:lang w:val="en-US" w:eastAsia="zh-CN"/>
        </w:rPr>
        <w:t>5.</w:t>
      </w:r>
      <w:r>
        <w:rPr>
          <w:rFonts w:ascii="宋体" w:hAnsi="宋体"/>
          <w:b w:val="0"/>
          <w:bCs/>
          <w:color w:val="000000"/>
          <w:sz w:val="24"/>
          <w:szCs w:val="24"/>
          <w:shd w:val="clear" w:color="auto" w:fill="FFFFFF"/>
        </w:rPr>
        <w:t>台面最低高度</w:t>
      </w:r>
      <w:r>
        <w:rPr>
          <w:rFonts w:hint="eastAsia" w:ascii="宋体" w:hAnsi="宋体"/>
          <w:b w:val="0"/>
          <w:bCs/>
          <w:color w:val="000000"/>
          <w:sz w:val="24"/>
          <w:szCs w:val="24"/>
          <w:shd w:val="clear" w:color="auto" w:fill="FFFFFF"/>
          <w:lang w:eastAsia="zh-CN"/>
        </w:rPr>
        <w:t>：</w:t>
      </w:r>
      <w:r>
        <w:rPr>
          <w:rFonts w:hint="eastAsia" w:ascii="宋体" w:hAnsi="宋体"/>
          <w:b w:val="0"/>
          <w:bCs/>
          <w:color w:val="000000"/>
          <w:sz w:val="24"/>
          <w:szCs w:val="24"/>
          <w:shd w:val="clear" w:color="auto" w:fill="FFFFFF"/>
          <w:lang w:val="en-US" w:eastAsia="zh-CN"/>
        </w:rPr>
        <w:t>70</w:t>
      </w:r>
      <w:r>
        <w:rPr>
          <w:rFonts w:ascii="宋体" w:hAnsi="宋体"/>
          <w:b w:val="0"/>
          <w:bCs/>
          <w:color w:val="000000"/>
          <w:sz w:val="24"/>
          <w:szCs w:val="24"/>
          <w:shd w:val="clear" w:color="auto" w:fill="FFFFFF"/>
        </w:rPr>
        <w:t>0mm</w:t>
      </w:r>
      <w:r>
        <w:rPr>
          <w:rFonts w:ascii="宋体" w:hAnsi="宋体"/>
          <w:b w:val="0"/>
          <w:bCs/>
          <w:color w:val="000000"/>
          <w:sz w:val="24"/>
          <w:szCs w:val="24"/>
          <w:shd w:val="clear" w:color="auto" w:fill="FFFFFF"/>
        </w:rPr>
        <w:br w:type="textWrapping"/>
      </w:r>
      <w:r>
        <w:rPr>
          <w:rFonts w:hint="eastAsia" w:ascii="宋体" w:hAnsi="宋体"/>
          <w:b w:val="0"/>
          <w:bCs/>
          <w:color w:val="000000"/>
          <w:sz w:val="24"/>
          <w:szCs w:val="24"/>
          <w:shd w:val="clear" w:color="auto" w:fill="FFFFFF"/>
          <w:lang w:val="en-US" w:eastAsia="zh-CN"/>
        </w:rPr>
        <w:t>6</w:t>
      </w:r>
      <w:r>
        <w:rPr>
          <w:rFonts w:ascii="宋体" w:hAnsi="宋体"/>
          <w:b w:val="0"/>
          <w:bCs/>
          <w:color w:val="000000"/>
          <w:sz w:val="24"/>
          <w:szCs w:val="24"/>
          <w:shd w:val="clear" w:color="auto" w:fill="FFFFFF"/>
        </w:rPr>
        <w:t>.台面前后倾最大角度</w:t>
      </w:r>
      <w:r>
        <w:rPr>
          <w:rFonts w:hint="eastAsia" w:ascii="宋体" w:hAnsi="宋体"/>
          <w:b w:val="0"/>
          <w:bCs/>
          <w:color w:val="000000"/>
          <w:sz w:val="24"/>
          <w:szCs w:val="24"/>
          <w:shd w:val="clear" w:color="auto" w:fill="FFFFFF"/>
          <w:lang w:eastAsia="zh-CN"/>
        </w:rPr>
        <w:t>：</w:t>
      </w:r>
      <w:r>
        <w:rPr>
          <w:rFonts w:ascii="宋体" w:hAnsi="宋体"/>
          <w:b w:val="0"/>
          <w:bCs/>
          <w:color w:val="000000"/>
          <w:sz w:val="24"/>
          <w:szCs w:val="24"/>
          <w:shd w:val="clear" w:color="auto" w:fill="FFFFFF"/>
        </w:rPr>
        <w:t>前倾≥</w:t>
      </w:r>
      <w:r>
        <w:rPr>
          <w:rFonts w:hint="eastAsia" w:ascii="宋体" w:hAnsi="宋体"/>
          <w:b w:val="0"/>
          <w:bCs/>
          <w:color w:val="000000"/>
          <w:sz w:val="24"/>
          <w:szCs w:val="24"/>
          <w:shd w:val="clear" w:color="auto" w:fill="FFFFFF"/>
          <w:lang w:val="en-US" w:eastAsia="zh-CN"/>
        </w:rPr>
        <w:t>20</w:t>
      </w:r>
      <w:r>
        <w:rPr>
          <w:rFonts w:ascii="宋体" w:hAnsi="宋体"/>
          <w:b w:val="0"/>
          <w:bCs/>
          <w:color w:val="000000"/>
          <w:sz w:val="24"/>
          <w:szCs w:val="24"/>
          <w:shd w:val="clear" w:color="auto" w:fill="FFFFFF"/>
        </w:rPr>
        <w:t>°后倾≥</w:t>
      </w:r>
      <w:r>
        <w:rPr>
          <w:rFonts w:hint="eastAsia" w:ascii="宋体" w:hAnsi="宋体"/>
          <w:b w:val="0"/>
          <w:bCs/>
          <w:color w:val="000000"/>
          <w:sz w:val="24"/>
          <w:szCs w:val="24"/>
          <w:shd w:val="clear" w:color="auto" w:fill="FFFFFF"/>
          <w:lang w:val="en-US" w:eastAsia="zh-CN"/>
        </w:rPr>
        <w:t>20</w:t>
      </w:r>
      <w:r>
        <w:rPr>
          <w:rFonts w:ascii="宋体" w:hAnsi="宋体"/>
          <w:b w:val="0"/>
          <w:bCs/>
          <w:color w:val="000000"/>
          <w:sz w:val="24"/>
          <w:szCs w:val="24"/>
          <w:shd w:val="clear" w:color="auto" w:fill="FFFFFF"/>
        </w:rPr>
        <w:t>°</w:t>
      </w:r>
      <w:r>
        <w:rPr>
          <w:rFonts w:ascii="宋体" w:hAnsi="宋体"/>
          <w:b w:val="0"/>
          <w:bCs/>
          <w:color w:val="000000"/>
          <w:sz w:val="24"/>
          <w:szCs w:val="24"/>
          <w:shd w:val="clear" w:color="auto" w:fill="FFFFFF"/>
        </w:rPr>
        <w:br w:type="textWrapping"/>
      </w:r>
      <w:r>
        <w:rPr>
          <w:rFonts w:hint="eastAsia" w:ascii="宋体" w:hAnsi="宋体"/>
          <w:b w:val="0"/>
          <w:bCs/>
          <w:color w:val="000000"/>
          <w:sz w:val="24"/>
          <w:szCs w:val="24"/>
          <w:shd w:val="clear" w:color="auto" w:fill="FFFFFF"/>
          <w:lang w:val="en-US" w:eastAsia="zh-CN"/>
        </w:rPr>
        <w:t>7</w:t>
      </w:r>
      <w:r>
        <w:rPr>
          <w:rFonts w:ascii="宋体" w:hAnsi="宋体"/>
          <w:b w:val="0"/>
          <w:bCs/>
          <w:color w:val="000000"/>
          <w:sz w:val="24"/>
          <w:szCs w:val="24"/>
          <w:shd w:val="clear" w:color="auto" w:fill="FFFFFF"/>
        </w:rPr>
        <w:t>.台面左右倾最大角度:左倾≥</w:t>
      </w:r>
      <w:r>
        <w:rPr>
          <w:rFonts w:hint="eastAsia" w:ascii="宋体" w:hAnsi="宋体"/>
          <w:b w:val="0"/>
          <w:bCs/>
          <w:color w:val="000000"/>
          <w:sz w:val="24"/>
          <w:szCs w:val="24"/>
          <w:shd w:val="clear" w:color="auto" w:fill="FFFFFF"/>
          <w:lang w:val="en-US" w:eastAsia="zh-CN"/>
        </w:rPr>
        <w:t>20</w:t>
      </w:r>
      <w:r>
        <w:rPr>
          <w:rFonts w:ascii="宋体" w:hAnsi="宋体"/>
          <w:b w:val="0"/>
          <w:bCs/>
          <w:color w:val="000000"/>
          <w:sz w:val="24"/>
          <w:szCs w:val="24"/>
          <w:shd w:val="clear" w:color="auto" w:fill="FFFFFF"/>
        </w:rPr>
        <w:t>°右倾≥</w:t>
      </w:r>
      <w:r>
        <w:rPr>
          <w:rFonts w:hint="eastAsia" w:ascii="宋体" w:hAnsi="宋体"/>
          <w:b w:val="0"/>
          <w:bCs/>
          <w:color w:val="000000"/>
          <w:sz w:val="24"/>
          <w:szCs w:val="24"/>
          <w:shd w:val="clear" w:color="auto" w:fill="FFFFFF"/>
          <w:lang w:val="en-US" w:eastAsia="zh-CN"/>
        </w:rPr>
        <w:t>15</w:t>
      </w:r>
      <w:r>
        <w:rPr>
          <w:rFonts w:ascii="宋体" w:hAnsi="宋体"/>
          <w:b w:val="0"/>
          <w:bCs/>
          <w:color w:val="000000"/>
          <w:sz w:val="24"/>
          <w:szCs w:val="24"/>
          <w:shd w:val="clear" w:color="auto" w:fill="FFFFFF"/>
        </w:rPr>
        <w:t>°</w:t>
      </w:r>
      <w:r>
        <w:rPr>
          <w:rFonts w:ascii="宋体" w:hAnsi="宋体"/>
          <w:b w:val="0"/>
          <w:bCs/>
          <w:color w:val="000000"/>
          <w:sz w:val="24"/>
          <w:szCs w:val="24"/>
          <w:shd w:val="clear" w:color="auto" w:fill="FFFFFF"/>
        </w:rPr>
        <w:br w:type="textWrapping"/>
      </w:r>
      <w:r>
        <w:rPr>
          <w:rFonts w:hint="eastAsia" w:ascii="宋体" w:hAnsi="宋体"/>
          <w:b w:val="0"/>
          <w:bCs/>
          <w:color w:val="000000"/>
          <w:sz w:val="24"/>
          <w:szCs w:val="24"/>
          <w:shd w:val="clear" w:color="auto" w:fill="FFFFFF"/>
          <w:lang w:val="en-US" w:eastAsia="zh-CN"/>
        </w:rPr>
        <w:t>8</w:t>
      </w:r>
      <w:r>
        <w:rPr>
          <w:rFonts w:ascii="宋体" w:hAnsi="宋体"/>
          <w:b w:val="0"/>
          <w:bCs/>
          <w:color w:val="000000"/>
          <w:sz w:val="24"/>
          <w:szCs w:val="24"/>
          <w:shd w:val="clear" w:color="auto" w:fill="FFFFFF"/>
        </w:rPr>
        <w:t>.腿板调节范围:下折≥90°可拆卸 外展</w:t>
      </w:r>
      <w:r>
        <w:rPr>
          <w:rFonts w:hint="eastAsia" w:ascii="宋体" w:hAnsi="宋体"/>
          <w:b w:val="0"/>
          <w:bCs/>
          <w:color w:val="000000"/>
          <w:sz w:val="24"/>
          <w:szCs w:val="24"/>
          <w:shd w:val="clear" w:color="auto" w:fill="FFFFFF"/>
          <w:lang w:val="en-US" w:eastAsia="zh-CN"/>
        </w:rPr>
        <w:t>90</w:t>
      </w:r>
      <w:r>
        <w:rPr>
          <w:rFonts w:ascii="宋体" w:hAnsi="宋体"/>
          <w:b w:val="0"/>
          <w:bCs/>
          <w:color w:val="000000"/>
          <w:sz w:val="24"/>
          <w:szCs w:val="24"/>
          <w:shd w:val="clear" w:color="auto" w:fill="FFFFFF"/>
        </w:rPr>
        <w:t>°</w:t>
      </w:r>
      <w:r>
        <w:rPr>
          <w:rFonts w:ascii="宋体" w:hAnsi="宋体"/>
          <w:b w:val="0"/>
          <w:bCs/>
          <w:color w:val="000000"/>
          <w:sz w:val="24"/>
          <w:szCs w:val="24"/>
          <w:shd w:val="clear" w:color="auto" w:fill="FFFFFF"/>
        </w:rPr>
        <w:br w:type="textWrapping"/>
      </w:r>
      <w:r>
        <w:rPr>
          <w:rFonts w:hint="eastAsia" w:ascii="宋体" w:hAnsi="宋体"/>
          <w:b w:val="0"/>
          <w:bCs/>
          <w:color w:val="000000"/>
          <w:sz w:val="24"/>
          <w:szCs w:val="24"/>
          <w:shd w:val="clear" w:color="auto" w:fill="FFFFFF"/>
          <w:lang w:val="en-US" w:eastAsia="zh-CN"/>
        </w:rPr>
        <w:t>9</w:t>
      </w:r>
      <w:r>
        <w:rPr>
          <w:rFonts w:ascii="宋体" w:hAnsi="宋体"/>
          <w:b w:val="0"/>
          <w:bCs/>
          <w:color w:val="000000"/>
          <w:sz w:val="24"/>
          <w:szCs w:val="24"/>
          <w:shd w:val="clear" w:color="auto" w:fill="FFFFFF"/>
        </w:rPr>
        <w:t>.背板调节范围:上折≥</w:t>
      </w:r>
      <w:r>
        <w:rPr>
          <w:rFonts w:hint="eastAsia" w:ascii="宋体" w:hAnsi="宋体"/>
          <w:b w:val="0"/>
          <w:bCs/>
          <w:color w:val="000000"/>
          <w:sz w:val="24"/>
          <w:szCs w:val="24"/>
          <w:shd w:val="clear" w:color="auto" w:fill="FFFFFF"/>
          <w:lang w:val="en-US" w:eastAsia="zh-CN"/>
        </w:rPr>
        <w:t>75</w:t>
      </w:r>
      <w:r>
        <w:rPr>
          <w:rFonts w:ascii="宋体" w:hAnsi="宋体"/>
          <w:b w:val="0"/>
          <w:bCs/>
          <w:color w:val="000000"/>
          <w:sz w:val="24"/>
          <w:szCs w:val="24"/>
          <w:shd w:val="clear" w:color="auto" w:fill="FFFFFF"/>
        </w:rPr>
        <w:t>°下折≥1</w:t>
      </w:r>
      <w:r>
        <w:rPr>
          <w:rFonts w:hint="eastAsia" w:ascii="宋体" w:hAnsi="宋体"/>
          <w:b w:val="0"/>
          <w:bCs/>
          <w:color w:val="000000"/>
          <w:sz w:val="24"/>
          <w:szCs w:val="24"/>
          <w:shd w:val="clear" w:color="auto" w:fill="FFFFFF"/>
        </w:rPr>
        <w:t>0</w:t>
      </w:r>
      <w:r>
        <w:rPr>
          <w:rFonts w:ascii="宋体" w:hAnsi="宋体"/>
          <w:b w:val="0"/>
          <w:bCs/>
          <w:color w:val="000000"/>
          <w:sz w:val="24"/>
          <w:szCs w:val="24"/>
          <w:shd w:val="clear" w:color="auto" w:fill="FFFFFF"/>
        </w:rPr>
        <w:t>°</w:t>
      </w:r>
      <w:r>
        <w:rPr>
          <w:rFonts w:ascii="宋体" w:hAnsi="宋体"/>
          <w:b w:val="0"/>
          <w:bCs/>
          <w:color w:val="000000"/>
          <w:sz w:val="24"/>
          <w:szCs w:val="24"/>
          <w:shd w:val="clear" w:color="auto" w:fill="FFFFFF"/>
        </w:rPr>
        <w:br w:type="textWrapping"/>
      </w:r>
      <w:r>
        <w:rPr>
          <w:rFonts w:hint="eastAsia" w:ascii="宋体" w:hAnsi="宋体"/>
          <w:b w:val="0"/>
          <w:bCs/>
          <w:color w:val="000000"/>
          <w:sz w:val="24"/>
          <w:szCs w:val="24"/>
          <w:shd w:val="clear" w:color="auto" w:fill="FFFFFF"/>
          <w:lang w:val="en-US" w:eastAsia="zh-CN"/>
        </w:rPr>
        <w:t>10</w:t>
      </w:r>
      <w:r>
        <w:rPr>
          <w:rFonts w:ascii="宋体" w:hAnsi="宋体"/>
          <w:b w:val="0"/>
          <w:bCs/>
          <w:color w:val="000000"/>
          <w:sz w:val="24"/>
          <w:szCs w:val="24"/>
          <w:shd w:val="clear" w:color="auto" w:fill="FFFFFF"/>
        </w:rPr>
        <w:t>.头板调节范围:上折≥</w:t>
      </w:r>
      <w:r>
        <w:rPr>
          <w:rFonts w:hint="eastAsia" w:ascii="宋体" w:hAnsi="宋体"/>
          <w:b w:val="0"/>
          <w:bCs/>
          <w:color w:val="000000"/>
          <w:sz w:val="24"/>
          <w:szCs w:val="24"/>
          <w:shd w:val="clear" w:color="auto" w:fill="FFFFFF"/>
          <w:lang w:val="en-US" w:eastAsia="zh-CN"/>
        </w:rPr>
        <w:t>50</w:t>
      </w:r>
      <w:r>
        <w:rPr>
          <w:rFonts w:ascii="宋体" w:hAnsi="宋体"/>
          <w:b w:val="0"/>
          <w:bCs/>
          <w:color w:val="000000"/>
          <w:sz w:val="24"/>
          <w:szCs w:val="24"/>
          <w:shd w:val="clear" w:color="auto" w:fill="FFFFFF"/>
        </w:rPr>
        <w:t>°下折≥</w:t>
      </w:r>
      <w:r>
        <w:rPr>
          <w:rFonts w:hint="eastAsia" w:ascii="宋体" w:hAnsi="宋体"/>
          <w:b w:val="0"/>
          <w:bCs/>
          <w:color w:val="000000"/>
          <w:sz w:val="24"/>
          <w:szCs w:val="24"/>
          <w:shd w:val="clear" w:color="auto" w:fill="FFFFFF"/>
          <w:lang w:val="en-US" w:eastAsia="zh-CN"/>
        </w:rPr>
        <w:t>90</w:t>
      </w:r>
      <w:r>
        <w:rPr>
          <w:rFonts w:ascii="宋体" w:hAnsi="宋体"/>
          <w:b w:val="0"/>
          <w:bCs/>
          <w:color w:val="000000"/>
          <w:sz w:val="24"/>
          <w:szCs w:val="24"/>
          <w:shd w:val="clear" w:color="auto" w:fill="FFFFFF"/>
        </w:rPr>
        <w:t>°可拆卸</w:t>
      </w:r>
    </w:p>
    <w:p>
      <w:pPr>
        <w:numPr>
          <w:ilvl w:val="0"/>
          <w:numId w:val="0"/>
        </w:numPr>
        <w:shd w:val="solid" w:color="FFFFFF" w:fill="auto"/>
        <w:autoSpaceDN w:val="0"/>
        <w:spacing w:line="360" w:lineRule="auto"/>
        <w:ind w:firstLine="723" w:firstLineChars="300"/>
        <w:jc w:val="left"/>
        <w:rPr>
          <w:rFonts w:hint="eastAsia" w:ascii="宋体" w:hAnsi="宋体"/>
          <w:b w:val="0"/>
          <w:bCs/>
          <w:color w:val="000000"/>
          <w:sz w:val="24"/>
          <w:szCs w:val="24"/>
          <w:shd w:val="clear" w:color="auto" w:fill="FFFFFF"/>
        </w:rPr>
      </w:pPr>
      <w:r>
        <w:rPr>
          <w:rFonts w:hint="eastAsia" w:ascii="宋体" w:hAnsi="宋体"/>
          <w:b/>
          <w:bCs w:val="0"/>
          <w:color w:val="000000"/>
          <w:sz w:val="24"/>
          <w:szCs w:val="24"/>
          <w:shd w:val="clear" w:color="auto" w:fill="FFFFFF"/>
          <w:lang w:val="en-US" w:eastAsia="zh-CN"/>
        </w:rPr>
        <w:t xml:space="preserve">* </w:t>
      </w:r>
      <w:r>
        <w:rPr>
          <w:rFonts w:hint="eastAsia" w:ascii="宋体" w:hAnsi="宋体"/>
          <w:b w:val="0"/>
          <w:bCs/>
          <w:color w:val="000000"/>
          <w:sz w:val="24"/>
          <w:szCs w:val="24"/>
          <w:shd w:val="clear" w:color="auto" w:fill="FFFFFF"/>
          <w:lang w:val="en-US" w:eastAsia="zh-CN"/>
        </w:rPr>
        <w:t>11</w:t>
      </w:r>
      <w:r>
        <w:rPr>
          <w:rFonts w:ascii="宋体" w:hAnsi="宋体"/>
          <w:b w:val="0"/>
          <w:bCs/>
          <w:color w:val="000000"/>
          <w:sz w:val="24"/>
          <w:szCs w:val="24"/>
          <w:shd w:val="clear" w:color="auto" w:fill="FFFFFF"/>
        </w:rPr>
        <w:t>.平移功能:平移≥</w:t>
      </w:r>
      <w:r>
        <w:rPr>
          <w:rFonts w:hint="eastAsia" w:ascii="宋体" w:hAnsi="宋体"/>
          <w:b w:val="0"/>
          <w:bCs/>
          <w:color w:val="000000"/>
          <w:sz w:val="24"/>
          <w:szCs w:val="24"/>
          <w:shd w:val="clear" w:color="auto" w:fill="FFFFFF"/>
          <w:lang w:val="en-US" w:eastAsia="zh-CN"/>
        </w:rPr>
        <w:t>35</w:t>
      </w:r>
      <w:r>
        <w:rPr>
          <w:rFonts w:ascii="宋体" w:hAnsi="宋体"/>
          <w:b w:val="0"/>
          <w:bCs/>
          <w:color w:val="000000"/>
          <w:sz w:val="24"/>
          <w:szCs w:val="24"/>
          <w:shd w:val="clear" w:color="auto" w:fill="FFFFFF"/>
        </w:rPr>
        <w:t>0mm</w:t>
      </w:r>
    </w:p>
    <w:p>
      <w:pPr>
        <w:widowControl/>
        <w:numPr>
          <w:ilvl w:val="0"/>
          <w:numId w:val="0"/>
        </w:numPr>
        <w:adjustRightInd w:val="0"/>
        <w:snapToGrid w:val="0"/>
        <w:spacing w:line="360" w:lineRule="auto"/>
        <w:ind w:firstLine="960" w:firstLineChars="400"/>
        <w:jc w:val="left"/>
        <w:rPr>
          <w:rFonts w:hint="eastAsia" w:ascii="宋体" w:hAnsi="宋体" w:cs="宋体"/>
          <w:b w:val="0"/>
          <w:bCs/>
          <w:sz w:val="24"/>
          <w:szCs w:val="24"/>
          <w:lang w:eastAsia="zh-CN"/>
        </w:rPr>
      </w:pPr>
      <w:r>
        <w:rPr>
          <w:rFonts w:hint="eastAsia" w:ascii="宋体" w:hAnsi="宋体"/>
          <w:b w:val="0"/>
          <w:bCs/>
          <w:color w:val="000000"/>
          <w:sz w:val="24"/>
          <w:szCs w:val="24"/>
          <w:shd w:val="clear" w:color="auto" w:fill="FFFFFF"/>
          <w:lang w:val="en-US" w:eastAsia="zh-CN"/>
        </w:rPr>
        <w:t>12</w:t>
      </w:r>
      <w:r>
        <w:rPr>
          <w:rFonts w:hint="eastAsia" w:ascii="宋体" w:hAnsi="宋体"/>
          <w:b w:val="0"/>
          <w:bCs/>
          <w:color w:val="000000"/>
          <w:sz w:val="24"/>
          <w:szCs w:val="24"/>
          <w:shd w:val="clear" w:color="auto" w:fill="FFFFFF"/>
        </w:rPr>
        <w:t>.</w:t>
      </w:r>
      <w:r>
        <w:rPr>
          <w:rFonts w:hint="eastAsia" w:ascii="宋体" w:hAnsi="宋体"/>
          <w:b w:val="0"/>
          <w:bCs/>
          <w:color w:val="000000"/>
          <w:sz w:val="24"/>
          <w:shd w:val="clear" w:color="auto" w:fill="FFFFFF"/>
        </w:rPr>
        <w:t xml:space="preserve"> 腰</w:t>
      </w:r>
      <w:r>
        <w:rPr>
          <w:rFonts w:hint="eastAsia" w:ascii="宋体" w:hAnsi="宋体"/>
          <w:b w:val="0"/>
          <w:bCs/>
          <w:color w:val="000000"/>
          <w:sz w:val="24"/>
          <w:shd w:val="clear" w:color="auto" w:fill="FFFFFF"/>
          <w:lang w:eastAsia="zh-CN"/>
        </w:rPr>
        <w:t>板</w:t>
      </w:r>
      <w:r>
        <w:rPr>
          <w:rFonts w:hint="eastAsia" w:ascii="宋体" w:hAnsi="宋体"/>
          <w:b w:val="0"/>
          <w:bCs/>
          <w:color w:val="000000"/>
          <w:sz w:val="24"/>
          <w:shd w:val="clear" w:color="auto" w:fill="FFFFFF"/>
        </w:rPr>
        <w:t>升距：</w:t>
      </w:r>
      <w:r>
        <w:rPr>
          <w:rFonts w:ascii="宋体" w:hAnsi="宋体"/>
          <w:b w:val="0"/>
          <w:bCs/>
          <w:color w:val="000000"/>
          <w:sz w:val="24"/>
          <w:shd w:val="clear" w:color="auto" w:fill="FFFFFF"/>
        </w:rPr>
        <w:t>≥</w:t>
      </w:r>
      <w:r>
        <w:rPr>
          <w:rFonts w:hint="eastAsia" w:ascii="宋体" w:hAnsi="宋体"/>
          <w:b w:val="0"/>
          <w:bCs/>
          <w:color w:val="000000"/>
          <w:sz w:val="24"/>
          <w:shd w:val="clear" w:color="auto" w:fill="FFFFFF"/>
        </w:rPr>
        <w:t>1</w:t>
      </w:r>
      <w:r>
        <w:rPr>
          <w:rFonts w:hint="eastAsia" w:ascii="宋体" w:hAnsi="宋体"/>
          <w:b w:val="0"/>
          <w:bCs/>
          <w:color w:val="000000"/>
          <w:sz w:val="24"/>
          <w:shd w:val="clear" w:color="auto" w:fill="FFFFFF"/>
          <w:lang w:val="en-US" w:eastAsia="zh-CN"/>
        </w:rPr>
        <w:t>2</w:t>
      </w:r>
      <w:r>
        <w:rPr>
          <w:rFonts w:hint="eastAsia" w:ascii="宋体" w:hAnsi="宋体"/>
          <w:b w:val="0"/>
          <w:bCs/>
          <w:color w:val="000000"/>
          <w:sz w:val="24"/>
          <w:shd w:val="clear" w:color="auto" w:fill="FFFFFF"/>
        </w:rPr>
        <w:t>0mm</w:t>
      </w:r>
      <w:r>
        <w:rPr>
          <w:rFonts w:ascii="宋体" w:hAnsi="宋体"/>
          <w:b w:val="0"/>
          <w:bCs/>
          <w:color w:val="000000"/>
          <w:sz w:val="24"/>
          <w:szCs w:val="24"/>
          <w:shd w:val="clear" w:color="auto" w:fill="FFFFFF"/>
        </w:rPr>
        <w:br w:type="textWrapping"/>
      </w:r>
    </w:p>
    <w:p>
      <w:pPr>
        <w:widowControl/>
        <w:numPr>
          <w:ilvl w:val="0"/>
          <w:numId w:val="0"/>
        </w:numPr>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五、售后服务要求</w:t>
      </w:r>
    </w:p>
    <w:p>
      <w:pPr>
        <w:widowControl/>
        <w:numPr>
          <w:ilvl w:val="0"/>
          <w:numId w:val="0"/>
        </w:numPr>
        <w:adjustRightInd w:val="0"/>
        <w:snapToGrid w:val="0"/>
        <w:spacing w:line="360" w:lineRule="auto"/>
        <w:ind w:firstLine="480" w:firstLineChars="200"/>
        <w:jc w:val="left"/>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1、保修期要求：整机保修≥壹年。</w:t>
      </w: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lang w:eastAsia="zh-CN"/>
        </w:rPr>
      </w:pPr>
    </w:p>
    <w:sectPr>
      <w:foot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903469"/>
    <w:multiLevelType w:val="multilevel"/>
    <w:tmpl w:val="47903469"/>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5084E6DB"/>
    <w:multiLevelType w:val="singleLevel"/>
    <w:tmpl w:val="5084E6DB"/>
    <w:lvl w:ilvl="0" w:tentative="0">
      <w:start w:val="1"/>
      <w:numFmt w:val="decimal"/>
      <w:suff w:val="nothing"/>
      <w:lvlText w:val="（%1）"/>
      <w:lvlJc w:val="left"/>
    </w:lvl>
  </w:abstractNum>
  <w:abstractNum w:abstractNumId="3">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0369B5"/>
    <w:rsid w:val="012158C6"/>
    <w:rsid w:val="01952630"/>
    <w:rsid w:val="022B5B7A"/>
    <w:rsid w:val="02320297"/>
    <w:rsid w:val="028A3DEF"/>
    <w:rsid w:val="02E36C04"/>
    <w:rsid w:val="03364A28"/>
    <w:rsid w:val="03653E8C"/>
    <w:rsid w:val="038D74B2"/>
    <w:rsid w:val="03E64112"/>
    <w:rsid w:val="04150F28"/>
    <w:rsid w:val="041B3680"/>
    <w:rsid w:val="045B25E0"/>
    <w:rsid w:val="04676A89"/>
    <w:rsid w:val="048D0B01"/>
    <w:rsid w:val="052D29B7"/>
    <w:rsid w:val="0553148B"/>
    <w:rsid w:val="059C7A49"/>
    <w:rsid w:val="061F1A21"/>
    <w:rsid w:val="06B32D15"/>
    <w:rsid w:val="06C9557C"/>
    <w:rsid w:val="070F571F"/>
    <w:rsid w:val="072A1382"/>
    <w:rsid w:val="072C7F68"/>
    <w:rsid w:val="07545E76"/>
    <w:rsid w:val="07FF0821"/>
    <w:rsid w:val="080501A2"/>
    <w:rsid w:val="08107D12"/>
    <w:rsid w:val="085141BB"/>
    <w:rsid w:val="087A5870"/>
    <w:rsid w:val="088B0C55"/>
    <w:rsid w:val="08A21F7A"/>
    <w:rsid w:val="08A65562"/>
    <w:rsid w:val="08D360C9"/>
    <w:rsid w:val="0917765E"/>
    <w:rsid w:val="095B2138"/>
    <w:rsid w:val="09B86DA1"/>
    <w:rsid w:val="0A727E71"/>
    <w:rsid w:val="0A7A4930"/>
    <w:rsid w:val="0AB92D1B"/>
    <w:rsid w:val="0ADB410A"/>
    <w:rsid w:val="0B3313FD"/>
    <w:rsid w:val="0B3D09FB"/>
    <w:rsid w:val="0B6B7350"/>
    <w:rsid w:val="0B7E393C"/>
    <w:rsid w:val="0B880791"/>
    <w:rsid w:val="0B92149F"/>
    <w:rsid w:val="0BBC202D"/>
    <w:rsid w:val="0BDD4832"/>
    <w:rsid w:val="0BFE5E85"/>
    <w:rsid w:val="0C54277B"/>
    <w:rsid w:val="0C903B42"/>
    <w:rsid w:val="0CBA5800"/>
    <w:rsid w:val="0CC321BC"/>
    <w:rsid w:val="0D945EEA"/>
    <w:rsid w:val="0DA12E4B"/>
    <w:rsid w:val="0DD41DF0"/>
    <w:rsid w:val="0E4B0F91"/>
    <w:rsid w:val="0E5B6F0C"/>
    <w:rsid w:val="0EC97E28"/>
    <w:rsid w:val="0F47195D"/>
    <w:rsid w:val="0F537C41"/>
    <w:rsid w:val="0F716A30"/>
    <w:rsid w:val="0F865328"/>
    <w:rsid w:val="0F922D8F"/>
    <w:rsid w:val="0FB01D9E"/>
    <w:rsid w:val="0FD829D6"/>
    <w:rsid w:val="0FE04720"/>
    <w:rsid w:val="0FFC6D51"/>
    <w:rsid w:val="100B398C"/>
    <w:rsid w:val="100B4C5F"/>
    <w:rsid w:val="106C47C3"/>
    <w:rsid w:val="10737612"/>
    <w:rsid w:val="10B71444"/>
    <w:rsid w:val="10E53490"/>
    <w:rsid w:val="1100257E"/>
    <w:rsid w:val="116C33E4"/>
    <w:rsid w:val="11705CA9"/>
    <w:rsid w:val="12121A51"/>
    <w:rsid w:val="122F5DE3"/>
    <w:rsid w:val="12383195"/>
    <w:rsid w:val="12421B43"/>
    <w:rsid w:val="125E7A15"/>
    <w:rsid w:val="12B065B2"/>
    <w:rsid w:val="12E0352C"/>
    <w:rsid w:val="12E12FD6"/>
    <w:rsid w:val="134F4F7D"/>
    <w:rsid w:val="13652A80"/>
    <w:rsid w:val="13995C6B"/>
    <w:rsid w:val="13D33344"/>
    <w:rsid w:val="15434312"/>
    <w:rsid w:val="15B14A5D"/>
    <w:rsid w:val="15D3075F"/>
    <w:rsid w:val="15F2748C"/>
    <w:rsid w:val="161010C8"/>
    <w:rsid w:val="164E53F1"/>
    <w:rsid w:val="166B5CAC"/>
    <w:rsid w:val="166D741E"/>
    <w:rsid w:val="16887003"/>
    <w:rsid w:val="16ED3C99"/>
    <w:rsid w:val="17804D90"/>
    <w:rsid w:val="17887FCF"/>
    <w:rsid w:val="17943632"/>
    <w:rsid w:val="17FD36E4"/>
    <w:rsid w:val="180B7D2C"/>
    <w:rsid w:val="18441142"/>
    <w:rsid w:val="1882564D"/>
    <w:rsid w:val="19855743"/>
    <w:rsid w:val="19890A2F"/>
    <w:rsid w:val="19DB0903"/>
    <w:rsid w:val="19DF7686"/>
    <w:rsid w:val="19FA341E"/>
    <w:rsid w:val="1A2E5FFF"/>
    <w:rsid w:val="1A5A6463"/>
    <w:rsid w:val="1A6D692C"/>
    <w:rsid w:val="1A837F96"/>
    <w:rsid w:val="1B692BF4"/>
    <w:rsid w:val="1B7F4493"/>
    <w:rsid w:val="1B866475"/>
    <w:rsid w:val="1B914AB2"/>
    <w:rsid w:val="1BAD0FFB"/>
    <w:rsid w:val="1BBC4161"/>
    <w:rsid w:val="1BD132FC"/>
    <w:rsid w:val="1C5228D5"/>
    <w:rsid w:val="1C7410C0"/>
    <w:rsid w:val="1C824B61"/>
    <w:rsid w:val="1DFB16FE"/>
    <w:rsid w:val="1E137FDF"/>
    <w:rsid w:val="1E6C026D"/>
    <w:rsid w:val="1E7030BB"/>
    <w:rsid w:val="1E7A5006"/>
    <w:rsid w:val="1E7B4FCC"/>
    <w:rsid w:val="1E827290"/>
    <w:rsid w:val="1F14003E"/>
    <w:rsid w:val="1F1B7A53"/>
    <w:rsid w:val="1F4038F5"/>
    <w:rsid w:val="1FBA14A0"/>
    <w:rsid w:val="20564015"/>
    <w:rsid w:val="207702FD"/>
    <w:rsid w:val="20771B03"/>
    <w:rsid w:val="207A42C9"/>
    <w:rsid w:val="20A90482"/>
    <w:rsid w:val="20B743D8"/>
    <w:rsid w:val="20CD1E00"/>
    <w:rsid w:val="212C235A"/>
    <w:rsid w:val="213A70C4"/>
    <w:rsid w:val="213C03E0"/>
    <w:rsid w:val="216422C0"/>
    <w:rsid w:val="21E32B21"/>
    <w:rsid w:val="22131672"/>
    <w:rsid w:val="22135719"/>
    <w:rsid w:val="22765277"/>
    <w:rsid w:val="22812D24"/>
    <w:rsid w:val="22BE484A"/>
    <w:rsid w:val="23466EF3"/>
    <w:rsid w:val="23594CEB"/>
    <w:rsid w:val="2361127C"/>
    <w:rsid w:val="23B7235C"/>
    <w:rsid w:val="23DB7875"/>
    <w:rsid w:val="23EA13C1"/>
    <w:rsid w:val="240D6401"/>
    <w:rsid w:val="24114E03"/>
    <w:rsid w:val="24527FE5"/>
    <w:rsid w:val="25A978BE"/>
    <w:rsid w:val="25B23C6C"/>
    <w:rsid w:val="25C439F2"/>
    <w:rsid w:val="27037147"/>
    <w:rsid w:val="27CB6DB1"/>
    <w:rsid w:val="27CB70AE"/>
    <w:rsid w:val="28033922"/>
    <w:rsid w:val="28327A2C"/>
    <w:rsid w:val="2857359B"/>
    <w:rsid w:val="28BF378F"/>
    <w:rsid w:val="28C9112B"/>
    <w:rsid w:val="28D47E2D"/>
    <w:rsid w:val="28EE5DE5"/>
    <w:rsid w:val="290A3199"/>
    <w:rsid w:val="292F520E"/>
    <w:rsid w:val="29571AAF"/>
    <w:rsid w:val="29AC707A"/>
    <w:rsid w:val="29FE5AC4"/>
    <w:rsid w:val="2A460E31"/>
    <w:rsid w:val="2AB146D1"/>
    <w:rsid w:val="2ABD16B5"/>
    <w:rsid w:val="2AC3728C"/>
    <w:rsid w:val="2AF57C58"/>
    <w:rsid w:val="2B246D3A"/>
    <w:rsid w:val="2B617CAD"/>
    <w:rsid w:val="2B902AEE"/>
    <w:rsid w:val="2BF044FA"/>
    <w:rsid w:val="2C3B75F5"/>
    <w:rsid w:val="2CD445BB"/>
    <w:rsid w:val="2CD52641"/>
    <w:rsid w:val="2CE84401"/>
    <w:rsid w:val="2D7E0B3A"/>
    <w:rsid w:val="2D8942CC"/>
    <w:rsid w:val="2DB26956"/>
    <w:rsid w:val="2E756FCD"/>
    <w:rsid w:val="2EA36313"/>
    <w:rsid w:val="2EB25146"/>
    <w:rsid w:val="2EE7431B"/>
    <w:rsid w:val="2F48649B"/>
    <w:rsid w:val="2FCE3C50"/>
    <w:rsid w:val="2FEE73BC"/>
    <w:rsid w:val="30566B63"/>
    <w:rsid w:val="308C75B1"/>
    <w:rsid w:val="311649E9"/>
    <w:rsid w:val="31294AC4"/>
    <w:rsid w:val="313023AC"/>
    <w:rsid w:val="31526B12"/>
    <w:rsid w:val="315509DD"/>
    <w:rsid w:val="32135333"/>
    <w:rsid w:val="32327A29"/>
    <w:rsid w:val="32AE25F8"/>
    <w:rsid w:val="32DB5A78"/>
    <w:rsid w:val="335E0CBB"/>
    <w:rsid w:val="336D16B2"/>
    <w:rsid w:val="33984AEE"/>
    <w:rsid w:val="33AD3A55"/>
    <w:rsid w:val="33B910F5"/>
    <w:rsid w:val="348200C0"/>
    <w:rsid w:val="353F7E95"/>
    <w:rsid w:val="35726BC0"/>
    <w:rsid w:val="35925C99"/>
    <w:rsid w:val="35DE3445"/>
    <w:rsid w:val="35FC66F1"/>
    <w:rsid w:val="364604CA"/>
    <w:rsid w:val="36467675"/>
    <w:rsid w:val="373F3A04"/>
    <w:rsid w:val="377457A1"/>
    <w:rsid w:val="37811575"/>
    <w:rsid w:val="37B2041C"/>
    <w:rsid w:val="37BE68D3"/>
    <w:rsid w:val="37EB5320"/>
    <w:rsid w:val="386A7F3B"/>
    <w:rsid w:val="390C2B91"/>
    <w:rsid w:val="390E3411"/>
    <w:rsid w:val="39C64979"/>
    <w:rsid w:val="39ED591B"/>
    <w:rsid w:val="3A7E120A"/>
    <w:rsid w:val="3ABA1065"/>
    <w:rsid w:val="3B353E82"/>
    <w:rsid w:val="3B556B38"/>
    <w:rsid w:val="3B7047DE"/>
    <w:rsid w:val="3B8114EE"/>
    <w:rsid w:val="3BFC2936"/>
    <w:rsid w:val="3C91312E"/>
    <w:rsid w:val="3CC26958"/>
    <w:rsid w:val="3D09428C"/>
    <w:rsid w:val="3D361C5B"/>
    <w:rsid w:val="3DCC0D65"/>
    <w:rsid w:val="3DE62ED3"/>
    <w:rsid w:val="3E3D076E"/>
    <w:rsid w:val="3EB95777"/>
    <w:rsid w:val="3EE91618"/>
    <w:rsid w:val="3F191E39"/>
    <w:rsid w:val="3F301F8B"/>
    <w:rsid w:val="3F4029E8"/>
    <w:rsid w:val="3FB14EF1"/>
    <w:rsid w:val="3FE02A25"/>
    <w:rsid w:val="3FE43848"/>
    <w:rsid w:val="405831BF"/>
    <w:rsid w:val="40814EF8"/>
    <w:rsid w:val="40AF0AEE"/>
    <w:rsid w:val="40F05305"/>
    <w:rsid w:val="415754CB"/>
    <w:rsid w:val="417715C6"/>
    <w:rsid w:val="41C567D8"/>
    <w:rsid w:val="421111B6"/>
    <w:rsid w:val="42525FD5"/>
    <w:rsid w:val="4334478F"/>
    <w:rsid w:val="43881982"/>
    <w:rsid w:val="43A4442E"/>
    <w:rsid w:val="444D7545"/>
    <w:rsid w:val="44A2020E"/>
    <w:rsid w:val="44A56C22"/>
    <w:rsid w:val="44E612CE"/>
    <w:rsid w:val="45141EA9"/>
    <w:rsid w:val="45307DB1"/>
    <w:rsid w:val="45D6351B"/>
    <w:rsid w:val="45DB58A6"/>
    <w:rsid w:val="45EF314E"/>
    <w:rsid w:val="4637555C"/>
    <w:rsid w:val="465633EC"/>
    <w:rsid w:val="46782BCC"/>
    <w:rsid w:val="46E636B1"/>
    <w:rsid w:val="46E65CCC"/>
    <w:rsid w:val="46FD1394"/>
    <w:rsid w:val="47267268"/>
    <w:rsid w:val="47BA651A"/>
    <w:rsid w:val="48A1163D"/>
    <w:rsid w:val="48F63A3B"/>
    <w:rsid w:val="492924D7"/>
    <w:rsid w:val="49DB7015"/>
    <w:rsid w:val="49F6291F"/>
    <w:rsid w:val="4A3F6809"/>
    <w:rsid w:val="4AE83E9E"/>
    <w:rsid w:val="4B4C4F40"/>
    <w:rsid w:val="4B55505B"/>
    <w:rsid w:val="4B666570"/>
    <w:rsid w:val="4B873673"/>
    <w:rsid w:val="4BF252EF"/>
    <w:rsid w:val="4C273DF3"/>
    <w:rsid w:val="4C310B20"/>
    <w:rsid w:val="4C3722B1"/>
    <w:rsid w:val="4D1444B5"/>
    <w:rsid w:val="4D4B0A40"/>
    <w:rsid w:val="4DD34D1A"/>
    <w:rsid w:val="4DD7342A"/>
    <w:rsid w:val="4DFE06A3"/>
    <w:rsid w:val="4E1E036E"/>
    <w:rsid w:val="4E3C21F3"/>
    <w:rsid w:val="4E3E62A2"/>
    <w:rsid w:val="4E411AF6"/>
    <w:rsid w:val="4E8722DD"/>
    <w:rsid w:val="4F247D44"/>
    <w:rsid w:val="4F3B3C79"/>
    <w:rsid w:val="4F7201B5"/>
    <w:rsid w:val="50021D85"/>
    <w:rsid w:val="500C061E"/>
    <w:rsid w:val="50B56BBE"/>
    <w:rsid w:val="50DA5784"/>
    <w:rsid w:val="50DD7F04"/>
    <w:rsid w:val="50E74D11"/>
    <w:rsid w:val="51161A78"/>
    <w:rsid w:val="518B796C"/>
    <w:rsid w:val="527050DE"/>
    <w:rsid w:val="52FF7457"/>
    <w:rsid w:val="532E2429"/>
    <w:rsid w:val="5346406E"/>
    <w:rsid w:val="535D5942"/>
    <w:rsid w:val="537625F6"/>
    <w:rsid w:val="53842DDC"/>
    <w:rsid w:val="53AC06B5"/>
    <w:rsid w:val="53B16C3C"/>
    <w:rsid w:val="53F827D7"/>
    <w:rsid w:val="541F61E1"/>
    <w:rsid w:val="546F0DF6"/>
    <w:rsid w:val="54E72BF9"/>
    <w:rsid w:val="555E5A69"/>
    <w:rsid w:val="556C1D4C"/>
    <w:rsid w:val="55D26BBC"/>
    <w:rsid w:val="560E22DD"/>
    <w:rsid w:val="56192B60"/>
    <w:rsid w:val="561D3BE9"/>
    <w:rsid w:val="56381299"/>
    <w:rsid w:val="563C7D3F"/>
    <w:rsid w:val="56434B37"/>
    <w:rsid w:val="56766626"/>
    <w:rsid w:val="570904AD"/>
    <w:rsid w:val="570C1680"/>
    <w:rsid w:val="574C2554"/>
    <w:rsid w:val="575B0518"/>
    <w:rsid w:val="578B445C"/>
    <w:rsid w:val="57D67C8E"/>
    <w:rsid w:val="5839331C"/>
    <w:rsid w:val="58C23C1E"/>
    <w:rsid w:val="58C82576"/>
    <w:rsid w:val="59153B05"/>
    <w:rsid w:val="59260719"/>
    <w:rsid w:val="592F11EC"/>
    <w:rsid w:val="595F602C"/>
    <w:rsid w:val="596D30CA"/>
    <w:rsid w:val="599F670D"/>
    <w:rsid w:val="59A332EB"/>
    <w:rsid w:val="59B04872"/>
    <w:rsid w:val="59FC3BBB"/>
    <w:rsid w:val="5A6D0B98"/>
    <w:rsid w:val="5A6E38A7"/>
    <w:rsid w:val="5AC3351C"/>
    <w:rsid w:val="5B1C503C"/>
    <w:rsid w:val="5B217EE9"/>
    <w:rsid w:val="5B795D74"/>
    <w:rsid w:val="5C006DE0"/>
    <w:rsid w:val="5C671FB1"/>
    <w:rsid w:val="5D12371A"/>
    <w:rsid w:val="5D4B60B5"/>
    <w:rsid w:val="5D82356D"/>
    <w:rsid w:val="5D912062"/>
    <w:rsid w:val="5DB8539D"/>
    <w:rsid w:val="5E011CFD"/>
    <w:rsid w:val="5E2E3E8F"/>
    <w:rsid w:val="5E3057FC"/>
    <w:rsid w:val="5E85104F"/>
    <w:rsid w:val="5EBC711E"/>
    <w:rsid w:val="5F001538"/>
    <w:rsid w:val="5FC37A81"/>
    <w:rsid w:val="607C1916"/>
    <w:rsid w:val="61265A00"/>
    <w:rsid w:val="62011D1D"/>
    <w:rsid w:val="62116B71"/>
    <w:rsid w:val="628D500D"/>
    <w:rsid w:val="62A00ED2"/>
    <w:rsid w:val="62E80D06"/>
    <w:rsid w:val="63CB6710"/>
    <w:rsid w:val="64A42EF6"/>
    <w:rsid w:val="65186FAF"/>
    <w:rsid w:val="65D32F5D"/>
    <w:rsid w:val="66B7678F"/>
    <w:rsid w:val="673A35C1"/>
    <w:rsid w:val="67A70539"/>
    <w:rsid w:val="67CA3E26"/>
    <w:rsid w:val="67E06EE7"/>
    <w:rsid w:val="67F6467D"/>
    <w:rsid w:val="68301083"/>
    <w:rsid w:val="685A153E"/>
    <w:rsid w:val="686802BB"/>
    <w:rsid w:val="688B0631"/>
    <w:rsid w:val="68C83F3D"/>
    <w:rsid w:val="68C94DA5"/>
    <w:rsid w:val="690B74A2"/>
    <w:rsid w:val="691006AF"/>
    <w:rsid w:val="695A2451"/>
    <w:rsid w:val="69701E75"/>
    <w:rsid w:val="69C72F89"/>
    <w:rsid w:val="6A336AC2"/>
    <w:rsid w:val="6A5F10DF"/>
    <w:rsid w:val="6AC618B4"/>
    <w:rsid w:val="6B454798"/>
    <w:rsid w:val="6B512DD1"/>
    <w:rsid w:val="6BD46D81"/>
    <w:rsid w:val="6C023FD1"/>
    <w:rsid w:val="6C100A48"/>
    <w:rsid w:val="6C161C4E"/>
    <w:rsid w:val="6C680D2A"/>
    <w:rsid w:val="6C9B0BF1"/>
    <w:rsid w:val="6C9F4B3E"/>
    <w:rsid w:val="6D8E39DD"/>
    <w:rsid w:val="6DA04F70"/>
    <w:rsid w:val="6DD66000"/>
    <w:rsid w:val="6E0E0EDA"/>
    <w:rsid w:val="6E562853"/>
    <w:rsid w:val="6E7807A6"/>
    <w:rsid w:val="6E7D6CB8"/>
    <w:rsid w:val="6E967879"/>
    <w:rsid w:val="6EA50713"/>
    <w:rsid w:val="6EE66D79"/>
    <w:rsid w:val="6F236B71"/>
    <w:rsid w:val="6F397268"/>
    <w:rsid w:val="6F550B2B"/>
    <w:rsid w:val="6F755850"/>
    <w:rsid w:val="6FAB090A"/>
    <w:rsid w:val="6FAE58FA"/>
    <w:rsid w:val="6FBE121E"/>
    <w:rsid w:val="6FEC449F"/>
    <w:rsid w:val="70035B0C"/>
    <w:rsid w:val="703E52B5"/>
    <w:rsid w:val="709E26DB"/>
    <w:rsid w:val="70B76B5F"/>
    <w:rsid w:val="70D706D2"/>
    <w:rsid w:val="70FD78C1"/>
    <w:rsid w:val="710D50C3"/>
    <w:rsid w:val="71284193"/>
    <w:rsid w:val="715A00A3"/>
    <w:rsid w:val="71710920"/>
    <w:rsid w:val="71800DCA"/>
    <w:rsid w:val="71A5336A"/>
    <w:rsid w:val="71BC6BDD"/>
    <w:rsid w:val="71CF3143"/>
    <w:rsid w:val="71F24E54"/>
    <w:rsid w:val="72162A55"/>
    <w:rsid w:val="72297F76"/>
    <w:rsid w:val="72391121"/>
    <w:rsid w:val="72630B43"/>
    <w:rsid w:val="73154C9A"/>
    <w:rsid w:val="736B02F0"/>
    <w:rsid w:val="73910716"/>
    <w:rsid w:val="73B056C6"/>
    <w:rsid w:val="73CD4B6F"/>
    <w:rsid w:val="73E647A6"/>
    <w:rsid w:val="74B8193D"/>
    <w:rsid w:val="74F66126"/>
    <w:rsid w:val="74F709C2"/>
    <w:rsid w:val="751A3C7A"/>
    <w:rsid w:val="753F4BD7"/>
    <w:rsid w:val="75526487"/>
    <w:rsid w:val="757A5C89"/>
    <w:rsid w:val="75DD31B7"/>
    <w:rsid w:val="76272FDA"/>
    <w:rsid w:val="76274191"/>
    <w:rsid w:val="7639589A"/>
    <w:rsid w:val="763F020A"/>
    <w:rsid w:val="764E567D"/>
    <w:rsid w:val="768539C9"/>
    <w:rsid w:val="76A53184"/>
    <w:rsid w:val="76B57B61"/>
    <w:rsid w:val="781C0BA6"/>
    <w:rsid w:val="789124CE"/>
    <w:rsid w:val="78B82C24"/>
    <w:rsid w:val="78E50091"/>
    <w:rsid w:val="793860CC"/>
    <w:rsid w:val="794B1C50"/>
    <w:rsid w:val="7A0B3A97"/>
    <w:rsid w:val="7A277127"/>
    <w:rsid w:val="7AF11948"/>
    <w:rsid w:val="7B4834FB"/>
    <w:rsid w:val="7B692196"/>
    <w:rsid w:val="7BCA18A8"/>
    <w:rsid w:val="7C0C1D7B"/>
    <w:rsid w:val="7C157BB1"/>
    <w:rsid w:val="7C3803AF"/>
    <w:rsid w:val="7C466679"/>
    <w:rsid w:val="7C6C728D"/>
    <w:rsid w:val="7D2E36EE"/>
    <w:rsid w:val="7DE432A2"/>
    <w:rsid w:val="7E2A24C2"/>
    <w:rsid w:val="7E8D4F54"/>
    <w:rsid w:val="7E987D2E"/>
    <w:rsid w:val="7EC86059"/>
    <w:rsid w:val="7EEE495B"/>
    <w:rsid w:val="7EF15C61"/>
    <w:rsid w:val="7F1B26AB"/>
    <w:rsid w:val="7F1F0161"/>
    <w:rsid w:val="7F874638"/>
    <w:rsid w:val="7FC9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 w:type="paragraph" w:customStyle="1" w:styleId="19">
    <w:name w:val="正文{858D7CFB-ED40-4347-BF05-701D383B685F}{858D7CFB-ED40-4347-BF05-701D383B685F}"/>
    <w:basedOn w:val="20"/>
    <w:next w:val="20"/>
    <w:qFormat/>
    <w:uiPriority w:val="0"/>
    <w:rPr>
      <w:rFonts w:hint="eastAsia"/>
    </w:rPr>
  </w:style>
  <w:style w:type="paragraph" w:customStyle="1" w:styleId="20">
    <w:name w:val="Default"/>
    <w:qFormat/>
    <w:uiPriority w:val="0"/>
    <w:pPr>
      <w:widowControl w:val="0"/>
      <w:autoSpaceDE w:val="0"/>
      <w:autoSpaceDN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7</TotalTime>
  <ScaleCrop>false</ScaleCrop>
  <LinksUpToDate>false</LinksUpToDate>
  <CharactersWithSpaces>7990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2020-10-22T02:03:42Z</cp:lastPrinted>
  <dcterms:modified xsi:type="dcterms:W3CDTF">2020-10-22T02:04:55Z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